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91FB9" w14:textId="13D9E949" w:rsidR="003D3F47" w:rsidRPr="00D246A3" w:rsidRDefault="00385692" w:rsidP="000C08D8">
      <w:pPr>
        <w:jc w:val="both"/>
        <w:rPr>
          <w:b/>
          <w:bCs/>
          <w:smallCaps/>
          <w:sz w:val="32"/>
          <w:szCs w:val="32"/>
        </w:rPr>
      </w:pPr>
      <w:r>
        <w:rPr>
          <w:b/>
          <w:bCs/>
          <w:smallCaps/>
          <w:sz w:val="32"/>
          <w:szCs w:val="32"/>
        </w:rPr>
        <w:t xml:space="preserve">Kennedy Lab </w:t>
      </w:r>
      <w:r w:rsidR="00FC681E" w:rsidRPr="00D246A3">
        <w:rPr>
          <w:b/>
          <w:bCs/>
          <w:smallCaps/>
          <w:sz w:val="32"/>
          <w:szCs w:val="32"/>
        </w:rPr>
        <w:t>Molecular Ecology Protocol</w:t>
      </w:r>
      <w:r w:rsidR="00CC48E0">
        <w:rPr>
          <w:b/>
          <w:bCs/>
          <w:smallCaps/>
          <w:sz w:val="32"/>
          <w:szCs w:val="32"/>
        </w:rPr>
        <w:t xml:space="preserve"> v1.3</w:t>
      </w:r>
    </w:p>
    <w:p w14:paraId="43F2BD3F" w14:textId="349A7AB5" w:rsidR="00FC681E" w:rsidRDefault="00991099" w:rsidP="000C08D8">
      <w:pPr>
        <w:jc w:val="both"/>
        <w:rPr>
          <w:b/>
          <w:i/>
        </w:rPr>
      </w:pPr>
      <w:proofErr w:type="spellStart"/>
      <w:r>
        <w:rPr>
          <w:b/>
          <w:i/>
        </w:rPr>
        <w:t>Illumina</w:t>
      </w:r>
      <w:proofErr w:type="spellEnd"/>
      <w:r>
        <w:rPr>
          <w:b/>
          <w:i/>
        </w:rPr>
        <w:t xml:space="preserve"> sequencing of f</w:t>
      </w:r>
      <w:r w:rsidR="00FC681E" w:rsidRPr="000C50EB">
        <w:rPr>
          <w:b/>
          <w:i/>
        </w:rPr>
        <w:t xml:space="preserve">ungal ITS1 </w:t>
      </w:r>
      <w:proofErr w:type="spellStart"/>
      <w:r w:rsidR="00FC681E" w:rsidRPr="000C50EB">
        <w:rPr>
          <w:b/>
          <w:i/>
        </w:rPr>
        <w:t>amplicon</w:t>
      </w:r>
      <w:proofErr w:type="spellEnd"/>
      <w:r w:rsidR="00FC681E" w:rsidRPr="000C50EB">
        <w:rPr>
          <w:b/>
          <w:i/>
        </w:rPr>
        <w:t xml:space="preserve"> libraries</w:t>
      </w:r>
    </w:p>
    <w:p w14:paraId="164D4AED" w14:textId="77777777" w:rsidR="00385692" w:rsidRDefault="00385692" w:rsidP="000C08D8">
      <w:pPr>
        <w:jc w:val="both"/>
        <w:rPr>
          <w:b/>
          <w:i/>
        </w:rPr>
      </w:pPr>
    </w:p>
    <w:p w14:paraId="306D3572" w14:textId="68A82982" w:rsidR="00385692" w:rsidRPr="00385692" w:rsidRDefault="00385692" w:rsidP="000C08D8">
      <w:pPr>
        <w:jc w:val="both"/>
        <w:rPr>
          <w:b/>
        </w:rPr>
      </w:pPr>
      <w:r w:rsidRPr="00385692">
        <w:rPr>
          <w:b/>
        </w:rPr>
        <w:t>Nhu Nguyen &amp; Peter Kennedy</w:t>
      </w:r>
    </w:p>
    <w:p w14:paraId="1DBAD7AE" w14:textId="43A0AA2C" w:rsidR="00385692" w:rsidRPr="00385692" w:rsidRDefault="00BF156F" w:rsidP="000C08D8">
      <w:pPr>
        <w:jc w:val="both"/>
        <w:rPr>
          <w:i/>
        </w:rPr>
      </w:pPr>
      <w:r>
        <w:rPr>
          <w:i/>
        </w:rPr>
        <w:t xml:space="preserve">Updated </w:t>
      </w:r>
      <w:r w:rsidR="00342441">
        <w:rPr>
          <w:i/>
        </w:rPr>
        <w:t>April 22</w:t>
      </w:r>
      <w:r w:rsidR="00385692">
        <w:rPr>
          <w:i/>
        </w:rPr>
        <w:t>, 201</w:t>
      </w:r>
      <w:r w:rsidR="00CC48E0">
        <w:rPr>
          <w:i/>
        </w:rPr>
        <w:t>5</w:t>
      </w:r>
    </w:p>
    <w:p w14:paraId="2E4032C0" w14:textId="77777777" w:rsidR="00385692" w:rsidRDefault="00385692" w:rsidP="000C08D8">
      <w:pPr>
        <w:jc w:val="both"/>
      </w:pPr>
    </w:p>
    <w:p w14:paraId="0D638098" w14:textId="77777777" w:rsidR="00385692" w:rsidRDefault="00385692" w:rsidP="000C08D8">
      <w:pPr>
        <w:jc w:val="both"/>
      </w:pPr>
    </w:p>
    <w:p w14:paraId="516E8E7C" w14:textId="77777777" w:rsidR="00FC681E" w:rsidRPr="00D246A3" w:rsidRDefault="00FC681E" w:rsidP="000C08D8">
      <w:pPr>
        <w:jc w:val="both"/>
        <w:rPr>
          <w:b/>
        </w:rPr>
      </w:pPr>
      <w:r w:rsidRPr="00D246A3">
        <w:rPr>
          <w:b/>
        </w:rPr>
        <w:t>I. Materials</w:t>
      </w:r>
    </w:p>
    <w:p w14:paraId="195D16B9" w14:textId="77777777" w:rsidR="00FC681E" w:rsidRDefault="00FC681E" w:rsidP="000C08D8">
      <w:pPr>
        <w:pStyle w:val="ListParagraph"/>
        <w:numPr>
          <w:ilvl w:val="0"/>
          <w:numId w:val="3"/>
        </w:numPr>
        <w:jc w:val="both"/>
      </w:pPr>
      <w:r>
        <w:t>Good DNA from samples</w:t>
      </w:r>
    </w:p>
    <w:p w14:paraId="233D6B5C" w14:textId="77777777" w:rsidR="00D246A3" w:rsidRDefault="00D246A3" w:rsidP="000C08D8">
      <w:pPr>
        <w:pStyle w:val="ListParagraph"/>
        <w:numPr>
          <w:ilvl w:val="0"/>
          <w:numId w:val="3"/>
        </w:numPr>
        <w:jc w:val="both"/>
      </w:pPr>
      <w:r>
        <w:t>General PCR reagents</w:t>
      </w:r>
    </w:p>
    <w:p w14:paraId="064C6C16" w14:textId="58687B1F" w:rsidR="00FC681E" w:rsidRDefault="00D246A3" w:rsidP="000C08D8">
      <w:pPr>
        <w:pStyle w:val="ListParagraph"/>
        <w:numPr>
          <w:ilvl w:val="0"/>
          <w:numId w:val="3"/>
        </w:numPr>
        <w:jc w:val="both"/>
      </w:pPr>
      <w:r>
        <w:t>Multiplex</w:t>
      </w:r>
      <w:r w:rsidR="00FC681E">
        <w:t xml:space="preserve"> barcoded </w:t>
      </w:r>
      <w:r w:rsidR="00654024">
        <w:t xml:space="preserve">and </w:t>
      </w:r>
      <w:proofErr w:type="spellStart"/>
      <w:r w:rsidR="000A0986">
        <w:t>MiSeq</w:t>
      </w:r>
      <w:proofErr w:type="spellEnd"/>
      <w:r w:rsidR="000A0986">
        <w:t xml:space="preserve"> </w:t>
      </w:r>
      <w:proofErr w:type="spellStart"/>
      <w:r w:rsidR="00654024">
        <w:t>Illumina</w:t>
      </w:r>
      <w:proofErr w:type="spellEnd"/>
      <w:r w:rsidR="00654024">
        <w:t xml:space="preserve"> sequencing </w:t>
      </w:r>
      <w:r w:rsidR="00FC681E">
        <w:t>primers</w:t>
      </w:r>
    </w:p>
    <w:p w14:paraId="3CDB3C4B" w14:textId="77777777" w:rsidR="00FC681E" w:rsidRDefault="00FC681E" w:rsidP="000C08D8">
      <w:pPr>
        <w:jc w:val="both"/>
      </w:pPr>
    </w:p>
    <w:p w14:paraId="41A4DAD8" w14:textId="77777777" w:rsidR="00FC681E" w:rsidRPr="00D246A3" w:rsidRDefault="00FC681E" w:rsidP="000C08D8">
      <w:pPr>
        <w:jc w:val="both"/>
        <w:rPr>
          <w:b/>
        </w:rPr>
      </w:pPr>
      <w:r w:rsidRPr="00D246A3">
        <w:rPr>
          <w:b/>
        </w:rPr>
        <w:t>II. Library preparation</w:t>
      </w:r>
    </w:p>
    <w:p w14:paraId="6C6C62E3" w14:textId="77777777" w:rsidR="00FC681E" w:rsidRDefault="00FC681E" w:rsidP="000C08D8">
      <w:pPr>
        <w:pStyle w:val="ListParagraph"/>
        <w:numPr>
          <w:ilvl w:val="0"/>
          <w:numId w:val="1"/>
        </w:numPr>
        <w:jc w:val="both"/>
      </w:pPr>
      <w:r>
        <w:t>Raw sample preparations</w:t>
      </w:r>
    </w:p>
    <w:p w14:paraId="151A972D" w14:textId="77777777" w:rsidR="00FC681E" w:rsidRDefault="00FC681E" w:rsidP="000C08D8">
      <w:pPr>
        <w:pStyle w:val="ListParagraph"/>
        <w:numPr>
          <w:ilvl w:val="0"/>
          <w:numId w:val="1"/>
        </w:numPr>
        <w:jc w:val="both"/>
      </w:pPr>
      <w:r>
        <w:t xml:space="preserve">DNA extraction and </w:t>
      </w:r>
      <w:proofErr w:type="spellStart"/>
      <w:r>
        <w:t>clean-up</w:t>
      </w:r>
      <w:proofErr w:type="spellEnd"/>
    </w:p>
    <w:p w14:paraId="382664CD" w14:textId="77777777" w:rsidR="00FC681E" w:rsidRDefault="00FC681E" w:rsidP="000C08D8">
      <w:pPr>
        <w:pStyle w:val="ListParagraph"/>
        <w:numPr>
          <w:ilvl w:val="0"/>
          <w:numId w:val="1"/>
        </w:numPr>
        <w:jc w:val="both"/>
      </w:pPr>
      <w:r>
        <w:t>PCR primer plate set-up</w:t>
      </w:r>
    </w:p>
    <w:p w14:paraId="33F5E2F1" w14:textId="77777777" w:rsidR="00FC681E" w:rsidRDefault="00FC681E" w:rsidP="000C08D8">
      <w:pPr>
        <w:pStyle w:val="ListParagraph"/>
        <w:numPr>
          <w:ilvl w:val="0"/>
          <w:numId w:val="1"/>
        </w:numPr>
        <w:jc w:val="both"/>
      </w:pPr>
      <w:r>
        <w:t>PCR parameters</w:t>
      </w:r>
    </w:p>
    <w:p w14:paraId="7B10028D" w14:textId="77777777" w:rsidR="00FC681E" w:rsidRDefault="00FC681E" w:rsidP="000C08D8">
      <w:pPr>
        <w:pStyle w:val="ListParagraph"/>
        <w:numPr>
          <w:ilvl w:val="0"/>
          <w:numId w:val="1"/>
        </w:numPr>
        <w:jc w:val="both"/>
      </w:pPr>
      <w:r>
        <w:t xml:space="preserve">PCR </w:t>
      </w:r>
      <w:proofErr w:type="spellStart"/>
      <w:r>
        <w:t>clean-up</w:t>
      </w:r>
      <w:proofErr w:type="spellEnd"/>
    </w:p>
    <w:p w14:paraId="303ED49C" w14:textId="77777777" w:rsidR="00FC681E" w:rsidRDefault="00FC681E" w:rsidP="000C08D8">
      <w:pPr>
        <w:pStyle w:val="ListParagraph"/>
        <w:numPr>
          <w:ilvl w:val="0"/>
          <w:numId w:val="1"/>
        </w:numPr>
        <w:jc w:val="both"/>
      </w:pPr>
      <w:r>
        <w:t>Library preparation</w:t>
      </w:r>
    </w:p>
    <w:p w14:paraId="756F2209" w14:textId="77777777" w:rsidR="006B3B6A" w:rsidRDefault="006B3B6A" w:rsidP="000C08D8">
      <w:pPr>
        <w:pStyle w:val="ListParagraph"/>
        <w:numPr>
          <w:ilvl w:val="0"/>
          <w:numId w:val="1"/>
        </w:numPr>
        <w:jc w:val="both"/>
      </w:pPr>
      <w:r>
        <w:t>Organization of your samples</w:t>
      </w:r>
    </w:p>
    <w:p w14:paraId="4379AA68" w14:textId="77777777" w:rsidR="00FC681E" w:rsidRDefault="00FC681E" w:rsidP="000C08D8">
      <w:pPr>
        <w:pStyle w:val="ListParagraph"/>
        <w:numPr>
          <w:ilvl w:val="0"/>
          <w:numId w:val="1"/>
        </w:numPr>
        <w:jc w:val="both"/>
      </w:pPr>
      <w:r>
        <w:t>Library submission</w:t>
      </w:r>
    </w:p>
    <w:p w14:paraId="2D8B2A6E" w14:textId="77777777" w:rsidR="00FC681E" w:rsidRDefault="00FC681E" w:rsidP="000C08D8">
      <w:pPr>
        <w:jc w:val="both"/>
      </w:pPr>
    </w:p>
    <w:p w14:paraId="4EE77ED9" w14:textId="2F20929E" w:rsidR="00FC681E" w:rsidRPr="00D246A3" w:rsidRDefault="00FC681E" w:rsidP="000C08D8">
      <w:pPr>
        <w:jc w:val="both"/>
        <w:rPr>
          <w:b/>
        </w:rPr>
      </w:pPr>
      <w:r w:rsidRPr="00D246A3">
        <w:rPr>
          <w:b/>
        </w:rPr>
        <w:t>III. Sequence library processing</w:t>
      </w:r>
      <w:r w:rsidR="002E25D9">
        <w:rPr>
          <w:b/>
        </w:rPr>
        <w:t xml:space="preserve"> and analysis</w:t>
      </w:r>
    </w:p>
    <w:p w14:paraId="21FA3036" w14:textId="77777777" w:rsidR="00FC681E" w:rsidRDefault="00FC681E" w:rsidP="000C08D8">
      <w:pPr>
        <w:pStyle w:val="ListParagraph"/>
        <w:numPr>
          <w:ilvl w:val="0"/>
          <w:numId w:val="4"/>
        </w:numPr>
        <w:jc w:val="both"/>
      </w:pPr>
      <w:proofErr w:type="spellStart"/>
      <w:r>
        <w:t>Demultiplexing</w:t>
      </w:r>
      <w:proofErr w:type="spellEnd"/>
      <w:r>
        <w:t xml:space="preserve"> samples</w:t>
      </w:r>
    </w:p>
    <w:p w14:paraId="3EFE0715" w14:textId="301A3D55" w:rsidR="00FC681E" w:rsidRDefault="00D54D0C" w:rsidP="000C08D8">
      <w:pPr>
        <w:pStyle w:val="ListParagraph"/>
        <w:numPr>
          <w:ilvl w:val="0"/>
          <w:numId w:val="4"/>
        </w:numPr>
        <w:jc w:val="both"/>
      </w:pPr>
      <w:r>
        <w:t>Quality filtering</w:t>
      </w:r>
    </w:p>
    <w:p w14:paraId="0A8F01F3" w14:textId="77777777" w:rsidR="00FC681E" w:rsidRDefault="00FC681E" w:rsidP="000C08D8">
      <w:pPr>
        <w:pStyle w:val="ListParagraph"/>
        <w:numPr>
          <w:ilvl w:val="0"/>
          <w:numId w:val="4"/>
        </w:numPr>
        <w:jc w:val="both"/>
      </w:pPr>
      <w:r>
        <w:t>Downstream processing and analyses</w:t>
      </w:r>
    </w:p>
    <w:p w14:paraId="2675EF16" w14:textId="3AEAE231" w:rsidR="00BC763F" w:rsidRDefault="00C24921" w:rsidP="000C08D8">
      <w:pPr>
        <w:pStyle w:val="ListParagraph"/>
        <w:numPr>
          <w:ilvl w:val="0"/>
          <w:numId w:val="4"/>
        </w:numPr>
        <w:jc w:val="both"/>
      </w:pPr>
      <w:r>
        <w:t>OTU identification for fungal</w:t>
      </w:r>
      <w:r w:rsidR="00BC763F">
        <w:t xml:space="preserve"> studies</w:t>
      </w:r>
    </w:p>
    <w:p w14:paraId="458FD6E3" w14:textId="3BBB9098" w:rsidR="007C3BA0" w:rsidRDefault="007C3BA0" w:rsidP="000C08D8">
      <w:pPr>
        <w:pStyle w:val="ListParagraph"/>
        <w:numPr>
          <w:ilvl w:val="0"/>
          <w:numId w:val="4"/>
        </w:numPr>
        <w:jc w:val="both"/>
      </w:pPr>
      <w:r w:rsidRPr="007C3BA0">
        <w:t>Parsing out</w:t>
      </w:r>
      <w:r w:rsidR="00C24921">
        <w:t xml:space="preserve"> fungal guilds</w:t>
      </w:r>
    </w:p>
    <w:p w14:paraId="491BA777" w14:textId="77777777" w:rsidR="001E42AE" w:rsidRDefault="001E42AE" w:rsidP="001E42AE">
      <w:pPr>
        <w:jc w:val="both"/>
      </w:pPr>
    </w:p>
    <w:p w14:paraId="1605E45E" w14:textId="7B16A0C5" w:rsidR="001E42AE" w:rsidRPr="001E42AE" w:rsidRDefault="001E42AE" w:rsidP="001E42AE">
      <w:pPr>
        <w:jc w:val="both"/>
        <w:rPr>
          <w:b/>
        </w:rPr>
      </w:pPr>
      <w:r w:rsidRPr="001E42AE">
        <w:rPr>
          <w:b/>
        </w:rPr>
        <w:t>IV. References</w:t>
      </w:r>
    </w:p>
    <w:p w14:paraId="75AE94D0" w14:textId="77777777" w:rsidR="007C3BA0" w:rsidRDefault="007C3BA0" w:rsidP="000C08D8">
      <w:pPr>
        <w:pStyle w:val="ListParagraph"/>
        <w:jc w:val="both"/>
      </w:pPr>
    </w:p>
    <w:p w14:paraId="2B4A77D5" w14:textId="77777777" w:rsidR="00D246A3" w:rsidRDefault="00D246A3" w:rsidP="000C08D8">
      <w:pPr>
        <w:jc w:val="both"/>
      </w:pPr>
    </w:p>
    <w:p w14:paraId="62E3F4D4" w14:textId="6F4E3921" w:rsidR="007C3BA0" w:rsidRDefault="007C3BA0" w:rsidP="000C08D8">
      <w:pPr>
        <w:jc w:val="both"/>
      </w:pPr>
      <w:r>
        <w:br w:type="page"/>
      </w:r>
    </w:p>
    <w:p w14:paraId="16FB3177" w14:textId="77777777" w:rsidR="00D246A3" w:rsidRPr="00BC763F" w:rsidRDefault="00D246A3" w:rsidP="000C08D8">
      <w:pPr>
        <w:jc w:val="both"/>
        <w:rPr>
          <w:b/>
          <w:sz w:val="28"/>
          <w:szCs w:val="28"/>
        </w:rPr>
      </w:pPr>
      <w:r w:rsidRPr="00BC763F">
        <w:rPr>
          <w:b/>
          <w:sz w:val="28"/>
          <w:szCs w:val="28"/>
        </w:rPr>
        <w:lastRenderedPageBreak/>
        <w:t>I. Materials</w:t>
      </w:r>
    </w:p>
    <w:p w14:paraId="3DA55DE0" w14:textId="77777777" w:rsidR="00D246A3" w:rsidRDefault="00D246A3" w:rsidP="000C08D8">
      <w:pPr>
        <w:jc w:val="both"/>
      </w:pPr>
      <w:r>
        <w:t xml:space="preserve">1. </w:t>
      </w:r>
      <w:r w:rsidRPr="00D246A3">
        <w:rPr>
          <w:i/>
        </w:rPr>
        <w:t>Good DNA from samples</w:t>
      </w:r>
    </w:p>
    <w:p w14:paraId="0C0F2455" w14:textId="29D76133" w:rsidR="00D246A3" w:rsidRDefault="00D246A3" w:rsidP="000C08D8">
      <w:pPr>
        <w:jc w:val="both"/>
      </w:pPr>
      <w:r>
        <w:t xml:space="preserve">This is crucial to producing good PCR products and saving downstream troubleshooting </w:t>
      </w:r>
      <w:r w:rsidR="00164EF0">
        <w:t>time</w:t>
      </w:r>
      <w:r>
        <w:t xml:space="preserve"> during PCR and library preparation. If you’re working from a </w:t>
      </w:r>
      <w:proofErr w:type="spellStart"/>
      <w:r>
        <w:t>MoBio</w:t>
      </w:r>
      <w:proofErr w:type="spellEnd"/>
      <w:r>
        <w:t xml:space="preserve"> soil kit, run your samples through a </w:t>
      </w:r>
      <w:proofErr w:type="spellStart"/>
      <w:r>
        <w:t>NanoDrop</w:t>
      </w:r>
      <w:proofErr w:type="spellEnd"/>
      <w:r>
        <w:t xml:space="preserve"> or plate reader that will show absorbance at 260/280 and 260/230. A DNA sample is considered pure if the 260/280 </w:t>
      </w:r>
      <w:proofErr w:type="gramStart"/>
      <w:r>
        <w:t>ratio</w:t>
      </w:r>
      <w:proofErr w:type="gramEnd"/>
      <w:r>
        <w:t xml:space="preserve"> is ~1.8 and 260/230 ratio is between 1.8-2.2. If the ratio of 260/280 is appreciably lower</w:t>
      </w:r>
      <w:r w:rsidRPr="00D246A3">
        <w:t>, it may indicate the presence of protein, phenol or other contaminants</w:t>
      </w:r>
      <w:r w:rsidR="00164EF0">
        <w:t>. If your samples do</w:t>
      </w:r>
      <w:r>
        <w:t xml:space="preserve"> not show a good 260/280 ratio, run them through any other DNA purification kit. If an absorbance spectrophotometer is not available, it’s a good idea to run all your </w:t>
      </w:r>
      <w:r w:rsidR="00CC48E0">
        <w:t xml:space="preserve">extracted DNA </w:t>
      </w:r>
      <w:r>
        <w:t>samples through a purification kit.</w:t>
      </w:r>
    </w:p>
    <w:p w14:paraId="3BF18F12" w14:textId="77777777" w:rsidR="00D246A3" w:rsidRDefault="00D246A3" w:rsidP="000C08D8">
      <w:pPr>
        <w:jc w:val="both"/>
      </w:pPr>
    </w:p>
    <w:p w14:paraId="3D0A763D" w14:textId="77777777" w:rsidR="00D246A3" w:rsidRPr="00D246A3" w:rsidRDefault="00D246A3" w:rsidP="000C08D8">
      <w:pPr>
        <w:jc w:val="both"/>
        <w:rPr>
          <w:i/>
        </w:rPr>
      </w:pPr>
      <w:r>
        <w:t xml:space="preserve">2. </w:t>
      </w:r>
      <w:r w:rsidRPr="00D246A3">
        <w:rPr>
          <w:i/>
        </w:rPr>
        <w:t>General PCR reagents</w:t>
      </w:r>
    </w:p>
    <w:p w14:paraId="5566CDB0" w14:textId="404CE6CB" w:rsidR="00D246A3" w:rsidRDefault="00D246A3" w:rsidP="000C08D8">
      <w:pPr>
        <w:jc w:val="both"/>
      </w:pPr>
      <w:r>
        <w:t xml:space="preserve">Regular </w:t>
      </w:r>
      <w:proofErr w:type="spellStart"/>
      <w:r>
        <w:t>Taq</w:t>
      </w:r>
      <w:proofErr w:type="spellEnd"/>
      <w:r>
        <w:t xml:space="preserve"> polymerase introduces too many mistakes during polymerization. </w:t>
      </w:r>
      <w:r w:rsidR="009614A6">
        <w:t>Therefore, use a</w:t>
      </w:r>
      <w:r w:rsidR="00783097">
        <w:t xml:space="preserve"> high fidelity polymerase with </w:t>
      </w:r>
      <w:proofErr w:type="gramStart"/>
      <w:r w:rsidR="00783097">
        <w:t>proof-reading</w:t>
      </w:r>
      <w:proofErr w:type="gramEnd"/>
      <w:r w:rsidR="00783097">
        <w:t xml:space="preserve"> function and low error rates. We recommend a high fidelity polymerase such as KAPA </w:t>
      </w:r>
      <w:proofErr w:type="spellStart"/>
      <w:r w:rsidR="00783097">
        <w:t>HiFi</w:t>
      </w:r>
      <w:proofErr w:type="spellEnd"/>
      <w:r w:rsidR="00783097">
        <w:t xml:space="preserve"> polymerase. </w:t>
      </w:r>
      <w:r w:rsidR="009614A6">
        <w:t>Extra MgCl</w:t>
      </w:r>
      <w:r w:rsidR="009614A6" w:rsidRPr="009614A6">
        <w:rPr>
          <w:vertAlign w:val="subscript"/>
        </w:rPr>
        <w:t>2</w:t>
      </w:r>
      <w:r w:rsidR="00CB09BC">
        <w:t xml:space="preserve"> (0.5M) and/or BSA (10mg/ml</w:t>
      </w:r>
      <w:r w:rsidR="009614A6">
        <w:t>) may be required to minimiz</w:t>
      </w:r>
      <w:r w:rsidR="00783097">
        <w:t>e the effects of PCR inhibitors in some DNA samples.</w:t>
      </w:r>
    </w:p>
    <w:p w14:paraId="63EDB65F" w14:textId="77777777" w:rsidR="009614A6" w:rsidRDefault="009614A6" w:rsidP="000C08D8">
      <w:pPr>
        <w:jc w:val="both"/>
      </w:pPr>
    </w:p>
    <w:p w14:paraId="317A47C2" w14:textId="3B48403C" w:rsidR="009614A6" w:rsidRDefault="009614A6" w:rsidP="000C08D8">
      <w:pPr>
        <w:jc w:val="both"/>
      </w:pPr>
      <w:r>
        <w:t xml:space="preserve">3. </w:t>
      </w:r>
      <w:r w:rsidRPr="006B3B6A">
        <w:rPr>
          <w:i/>
        </w:rPr>
        <w:t xml:space="preserve">Multiplexed barcoded primers &amp; </w:t>
      </w:r>
      <w:proofErr w:type="spellStart"/>
      <w:r w:rsidR="000A0986">
        <w:rPr>
          <w:i/>
        </w:rPr>
        <w:t>MiSeq</w:t>
      </w:r>
      <w:proofErr w:type="spellEnd"/>
      <w:r w:rsidR="000A0986">
        <w:rPr>
          <w:i/>
        </w:rPr>
        <w:t xml:space="preserve"> </w:t>
      </w:r>
      <w:proofErr w:type="spellStart"/>
      <w:r w:rsidRPr="006B3B6A">
        <w:rPr>
          <w:i/>
        </w:rPr>
        <w:t>Illumina</w:t>
      </w:r>
      <w:proofErr w:type="spellEnd"/>
      <w:r w:rsidRPr="006B3B6A">
        <w:rPr>
          <w:i/>
        </w:rPr>
        <w:t xml:space="preserve"> sequencing primers</w:t>
      </w:r>
    </w:p>
    <w:p w14:paraId="43D92A37" w14:textId="51800AD4" w:rsidR="00314389" w:rsidRDefault="006B3B6A" w:rsidP="000C08D8">
      <w:pPr>
        <w:jc w:val="both"/>
      </w:pPr>
      <w:r>
        <w:t xml:space="preserve">There are two sets of sequencing primers – the PCR primers and the </w:t>
      </w:r>
      <w:proofErr w:type="spellStart"/>
      <w:r w:rsidR="000A0986">
        <w:t>MiSeq</w:t>
      </w:r>
      <w:proofErr w:type="spellEnd"/>
      <w:r w:rsidR="000A0986">
        <w:t xml:space="preserve"> </w:t>
      </w:r>
      <w:proofErr w:type="spellStart"/>
      <w:r>
        <w:t>Illumina</w:t>
      </w:r>
      <w:proofErr w:type="spellEnd"/>
      <w:r>
        <w:t xml:space="preserve"> sequencing primers.</w:t>
      </w:r>
      <w:r w:rsidR="00654024">
        <w:t xml:space="preserve"> The figure below from Smith &amp; </w:t>
      </w:r>
      <w:proofErr w:type="spellStart"/>
      <w:r w:rsidR="00654024">
        <w:t>Peay</w:t>
      </w:r>
      <w:proofErr w:type="spellEnd"/>
      <w:r w:rsidR="00654024">
        <w:t xml:space="preserve"> (</w:t>
      </w:r>
      <w:r w:rsidR="00CC48E0">
        <w:t>2014</w:t>
      </w:r>
      <w:r w:rsidR="00654024">
        <w:t>) shows the primer set-up and graphically sh</w:t>
      </w:r>
      <w:r w:rsidR="00164EF0">
        <w:t>ow</w:t>
      </w:r>
      <w:r w:rsidR="00CB09BC">
        <w:t>s</w:t>
      </w:r>
      <w:r w:rsidR="00164EF0">
        <w:t xml:space="preserve"> them in relation to the ITS1, our targeted gene region.</w:t>
      </w:r>
      <w:r w:rsidR="00314389">
        <w:t xml:space="preserve"> </w:t>
      </w:r>
      <w:r w:rsidR="000A0986">
        <w:t xml:space="preserve">Note that the primers were designed for the </w:t>
      </w:r>
      <w:proofErr w:type="spellStart"/>
      <w:r w:rsidR="000A0986">
        <w:t>MiSeq</w:t>
      </w:r>
      <w:proofErr w:type="spellEnd"/>
      <w:r w:rsidR="000A0986">
        <w:t xml:space="preserve"> platform.</w:t>
      </w:r>
    </w:p>
    <w:p w14:paraId="01BB2ADD" w14:textId="77777777" w:rsidR="00314389" w:rsidRDefault="00314389" w:rsidP="000C08D8">
      <w:pPr>
        <w:jc w:val="both"/>
      </w:pPr>
    </w:p>
    <w:p w14:paraId="3B1FB0DF" w14:textId="7D3552EC" w:rsidR="00654024" w:rsidRDefault="00314389" w:rsidP="00985C30">
      <w:r>
        <w:t xml:space="preserve">The barcoded primer list can be found at </w:t>
      </w:r>
      <w:hyperlink r:id="rId7" w:history="1">
        <w:r w:rsidRPr="00604C48">
          <w:rPr>
            <w:rStyle w:val="Hyperlink"/>
          </w:rPr>
          <w:t>http://www.cbs.umn.edu/labs/kennedy/protocols</w:t>
        </w:r>
      </w:hyperlink>
    </w:p>
    <w:p w14:paraId="49D13B38" w14:textId="65871C03" w:rsidR="009614A6" w:rsidRDefault="007C3BA0" w:rsidP="000C08D8">
      <w:pPr>
        <w:jc w:val="both"/>
      </w:pPr>
      <w:r>
        <w:rPr>
          <w:noProof/>
        </w:rPr>
        <w:drawing>
          <wp:inline distT="0" distB="0" distL="0" distR="0" wp14:anchorId="0B4A7975" wp14:editId="2C33AC0B">
            <wp:extent cx="4884909" cy="3217333"/>
            <wp:effectExtent l="0" t="0" r="0" b="8890"/>
            <wp:docPr id="3" name="Picture 3" descr="Macintosh HD:Users:Nhu:Desktop:Fig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hu:Desktop:Fig_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919" cy="3218657"/>
                    </a:xfrm>
                    <a:prstGeom prst="rect">
                      <a:avLst/>
                    </a:prstGeom>
                    <a:noFill/>
                    <a:ln>
                      <a:noFill/>
                    </a:ln>
                  </pic:spPr>
                </pic:pic>
              </a:graphicData>
            </a:graphic>
          </wp:inline>
        </w:drawing>
      </w:r>
    </w:p>
    <w:p w14:paraId="1FDF1214" w14:textId="613EC02D" w:rsidR="00CC48E0" w:rsidRPr="00CC48E0" w:rsidRDefault="00CC48E0" w:rsidP="000C08D8">
      <w:pPr>
        <w:jc w:val="both"/>
        <w:rPr>
          <w:sz w:val="20"/>
          <w:szCs w:val="20"/>
        </w:rPr>
      </w:pPr>
      <w:r w:rsidRPr="00CC48E0">
        <w:rPr>
          <w:b/>
          <w:sz w:val="20"/>
          <w:szCs w:val="20"/>
        </w:rPr>
        <w:t>Figure from:</w:t>
      </w:r>
      <w:r>
        <w:rPr>
          <w:sz w:val="20"/>
          <w:szCs w:val="20"/>
        </w:rPr>
        <w:t xml:space="preserve"> </w:t>
      </w:r>
      <w:r w:rsidRPr="00CC48E0">
        <w:rPr>
          <w:sz w:val="20"/>
          <w:szCs w:val="20"/>
        </w:rPr>
        <w:t xml:space="preserve">Smith, D.P., </w:t>
      </w:r>
      <w:proofErr w:type="spellStart"/>
      <w:r w:rsidRPr="00CC48E0">
        <w:rPr>
          <w:sz w:val="20"/>
          <w:szCs w:val="20"/>
        </w:rPr>
        <w:t>Peay</w:t>
      </w:r>
      <w:proofErr w:type="spellEnd"/>
      <w:r w:rsidRPr="00CC48E0">
        <w:rPr>
          <w:sz w:val="20"/>
          <w:szCs w:val="20"/>
        </w:rPr>
        <w:t xml:space="preserve">, </w:t>
      </w:r>
      <w:proofErr w:type="gramStart"/>
      <w:r w:rsidRPr="00CC48E0">
        <w:rPr>
          <w:sz w:val="20"/>
          <w:szCs w:val="20"/>
        </w:rPr>
        <w:t>K.G</w:t>
      </w:r>
      <w:proofErr w:type="gramEnd"/>
      <w:r w:rsidRPr="00CC48E0">
        <w:rPr>
          <w:sz w:val="20"/>
          <w:szCs w:val="20"/>
        </w:rPr>
        <w:t xml:space="preserve">., 2014. </w:t>
      </w:r>
      <w:proofErr w:type="spellStart"/>
      <w:r w:rsidRPr="00CC48E0">
        <w:rPr>
          <w:sz w:val="20"/>
          <w:szCs w:val="20"/>
        </w:rPr>
        <w:t>PLoS</w:t>
      </w:r>
      <w:proofErr w:type="spellEnd"/>
      <w:r w:rsidRPr="00CC48E0">
        <w:rPr>
          <w:sz w:val="20"/>
          <w:szCs w:val="20"/>
        </w:rPr>
        <w:t xml:space="preserve"> One 9, e90234. </w:t>
      </w:r>
      <w:proofErr w:type="gramStart"/>
      <w:r w:rsidRPr="00CC48E0">
        <w:rPr>
          <w:sz w:val="20"/>
          <w:szCs w:val="20"/>
        </w:rPr>
        <w:t>doi:10.1371</w:t>
      </w:r>
      <w:proofErr w:type="gramEnd"/>
      <w:r w:rsidRPr="00CC48E0">
        <w:rPr>
          <w:sz w:val="20"/>
          <w:szCs w:val="20"/>
        </w:rPr>
        <w:t>/journal.pone.0090234</w:t>
      </w:r>
    </w:p>
    <w:p w14:paraId="0F8404B4" w14:textId="77777777" w:rsidR="00432231" w:rsidRDefault="00432231" w:rsidP="000C08D8">
      <w:pPr>
        <w:jc w:val="both"/>
        <w:rPr>
          <w:u w:val="single"/>
        </w:rPr>
      </w:pPr>
    </w:p>
    <w:p w14:paraId="1892353F" w14:textId="77777777" w:rsidR="006B3B6A" w:rsidRPr="006B3B6A" w:rsidRDefault="006B3B6A" w:rsidP="000C08D8">
      <w:pPr>
        <w:jc w:val="both"/>
        <w:rPr>
          <w:u w:val="single"/>
        </w:rPr>
      </w:pPr>
      <w:r w:rsidRPr="006B3B6A">
        <w:rPr>
          <w:u w:val="single"/>
        </w:rPr>
        <w:t>PCR primers</w:t>
      </w:r>
    </w:p>
    <w:p w14:paraId="3C116CC8" w14:textId="77777777" w:rsidR="006B3B6A" w:rsidRDefault="006B3B6A" w:rsidP="000C08D8">
      <w:pPr>
        <w:jc w:val="both"/>
      </w:pPr>
      <w:r>
        <w:t xml:space="preserve">The forward PCR primer contain an </w:t>
      </w:r>
      <w:proofErr w:type="spellStart"/>
      <w:r>
        <w:t>Illumina</w:t>
      </w:r>
      <w:proofErr w:type="spellEnd"/>
      <w:r>
        <w:t xml:space="preserve"> adapter, linker, and gene primer</w:t>
      </w:r>
    </w:p>
    <w:p w14:paraId="038705A8" w14:textId="77777777" w:rsidR="006B3B6A" w:rsidRDefault="006B3B6A" w:rsidP="000C08D8">
      <w:pPr>
        <w:jc w:val="both"/>
      </w:pPr>
      <w:r>
        <w:t xml:space="preserve">The reverse PCR primer contains an </w:t>
      </w:r>
      <w:proofErr w:type="spellStart"/>
      <w:r>
        <w:t>Illumina</w:t>
      </w:r>
      <w:proofErr w:type="spellEnd"/>
      <w:r>
        <w:t xml:space="preserve"> adapter, barcode, linker, and gene primer</w:t>
      </w:r>
    </w:p>
    <w:p w14:paraId="6DF0BF11" w14:textId="77777777" w:rsidR="006B3B6A" w:rsidRDefault="006B3B6A" w:rsidP="000C08D8">
      <w:pPr>
        <w:jc w:val="both"/>
      </w:pPr>
    </w:p>
    <w:p w14:paraId="47DEE27E" w14:textId="30879CA0" w:rsidR="006B3B6A" w:rsidRDefault="006B3B6A" w:rsidP="000C08D8">
      <w:pPr>
        <w:jc w:val="both"/>
      </w:pPr>
      <w:r>
        <w:t>All sample</w:t>
      </w:r>
      <w:r w:rsidR="00654024">
        <w:t>s</w:t>
      </w:r>
      <w:r>
        <w:t xml:space="preserve"> will receive the same forward primer but each sample will receive a different barcoded reverse primer.</w:t>
      </w:r>
      <w:r w:rsidR="00654024">
        <w:t xml:space="preserve"> The barcodes are GOL</w:t>
      </w:r>
      <w:r w:rsidR="00164EF0">
        <w:t>AY error correcting 12bp barcodes</w:t>
      </w:r>
      <w:r w:rsidR="00654024">
        <w:t xml:space="preserve">. </w:t>
      </w:r>
    </w:p>
    <w:p w14:paraId="4CA3C43B" w14:textId="77777777" w:rsidR="00654024" w:rsidRDefault="00654024" w:rsidP="000C08D8">
      <w:pPr>
        <w:jc w:val="both"/>
      </w:pPr>
    </w:p>
    <w:p w14:paraId="41ABD7B6" w14:textId="2AB655B7" w:rsidR="00654024" w:rsidRDefault="00654024" w:rsidP="000C08D8">
      <w:pPr>
        <w:jc w:val="both"/>
      </w:pPr>
      <w:r>
        <w:t xml:space="preserve">These primers should be ordered in separate tubes from any primer company such as IDT. There is a significant amount of cross contamination with a plate order so it’s best to avoid ordering whole plates. </w:t>
      </w:r>
      <w:r w:rsidR="00AF3D82">
        <w:t xml:space="preserve">For barcoded primers (reverse), order at 25nmol scale. </w:t>
      </w:r>
      <w:proofErr w:type="gramStart"/>
      <w:r w:rsidR="00AF3D82">
        <w:t>For non-barcoded primer (forward), order at 100n</w:t>
      </w:r>
      <w:r w:rsidR="000C08D8">
        <w:t>M</w:t>
      </w:r>
      <w:r w:rsidR="00AF3D82">
        <w:t xml:space="preserve"> scale so that you will have enough to use for many reactions.</w:t>
      </w:r>
      <w:proofErr w:type="gramEnd"/>
      <w:r w:rsidR="00AF3D82">
        <w:t xml:space="preserve"> Standard desalting should be good enough for PCR. </w:t>
      </w:r>
      <w:r>
        <w:t xml:space="preserve">Once received, </w:t>
      </w:r>
      <w:proofErr w:type="spellStart"/>
      <w:r>
        <w:t>resuspend</w:t>
      </w:r>
      <w:proofErr w:type="spellEnd"/>
      <w:r>
        <w:t xml:space="preserve"> the primers in TE buffer to 100</w:t>
      </w:r>
      <w:r w:rsidR="00164EF0">
        <w:rPr>
          <w:rFonts w:ascii="Cambria" w:hAnsi="Cambria"/>
        </w:rPr>
        <w:t>μ</w:t>
      </w:r>
      <w:r>
        <w:t>M.</w:t>
      </w:r>
    </w:p>
    <w:p w14:paraId="787F3782" w14:textId="77777777" w:rsidR="00654024" w:rsidRDefault="00654024" w:rsidP="000C08D8">
      <w:pPr>
        <w:jc w:val="both"/>
      </w:pPr>
    </w:p>
    <w:p w14:paraId="438160A0" w14:textId="77777777" w:rsidR="00654024" w:rsidRPr="00654024" w:rsidRDefault="00654024" w:rsidP="000C08D8">
      <w:pPr>
        <w:jc w:val="both"/>
        <w:rPr>
          <w:u w:val="single"/>
        </w:rPr>
      </w:pPr>
      <w:proofErr w:type="spellStart"/>
      <w:r w:rsidRPr="00654024">
        <w:rPr>
          <w:u w:val="single"/>
        </w:rPr>
        <w:t>Illumina</w:t>
      </w:r>
      <w:proofErr w:type="spellEnd"/>
      <w:r w:rsidRPr="00654024">
        <w:rPr>
          <w:u w:val="single"/>
        </w:rPr>
        <w:t xml:space="preserve"> sequencing primers</w:t>
      </w:r>
    </w:p>
    <w:p w14:paraId="5564B144" w14:textId="2712F9CB" w:rsidR="00654024" w:rsidRDefault="00654024" w:rsidP="000C08D8">
      <w:pPr>
        <w:jc w:val="both"/>
      </w:pPr>
      <w:r>
        <w:t>The user must provide the sequencing center with sequencing primers. There are three</w:t>
      </w:r>
      <w:r w:rsidR="00164EF0">
        <w:t xml:space="preserve"> sequencing primers</w:t>
      </w:r>
      <w:r>
        <w:t xml:space="preserve">: Read 1, Read 2, and Index. Read 1 primer will sequence one </w:t>
      </w:r>
      <w:proofErr w:type="gramStart"/>
      <w:r>
        <w:t>direction,</w:t>
      </w:r>
      <w:proofErr w:type="gramEnd"/>
      <w:r>
        <w:t xml:space="preserve"> Read 2 primer will sequence the reverse direction, and Index primer will sequence the barcode. Provide the sequencing center with the requested amount of each in a separat</w:t>
      </w:r>
      <w:r w:rsidR="00314389">
        <w:t>e tube. The B</w:t>
      </w:r>
      <w:r w:rsidR="00164EF0">
        <w:t>MGC will require 5</w:t>
      </w:r>
      <w:r w:rsidR="00164EF0">
        <w:rPr>
          <w:rFonts w:ascii="Cambria" w:hAnsi="Cambria"/>
        </w:rPr>
        <w:t>μ</w:t>
      </w:r>
      <w:r>
        <w:t>l of 100</w:t>
      </w:r>
      <w:r w:rsidR="00164EF0">
        <w:rPr>
          <w:rFonts w:ascii="Cambria" w:hAnsi="Cambria"/>
        </w:rPr>
        <w:t>μ</w:t>
      </w:r>
      <w:r>
        <w:t>M sequencing primers.</w:t>
      </w:r>
    </w:p>
    <w:p w14:paraId="12F16110" w14:textId="77777777" w:rsidR="00654024" w:rsidRDefault="00654024" w:rsidP="000C08D8">
      <w:pPr>
        <w:jc w:val="both"/>
      </w:pPr>
    </w:p>
    <w:p w14:paraId="512550BE" w14:textId="15B3A5B3" w:rsidR="00654024" w:rsidRDefault="00654024" w:rsidP="000C08D8">
      <w:pPr>
        <w:jc w:val="both"/>
      </w:pPr>
      <w:r>
        <w:t>These primers should be ordered in separate tubes from any primer company such as</w:t>
      </w:r>
      <w:r w:rsidR="00D17457">
        <w:t xml:space="preserve"> IDT. Request HPLC purification. HPLC purification requires a large amount of product to begin with and the yield is minimal. Order the primers at 250nmol scale so that you will have enough for multiple runs in the future. </w:t>
      </w:r>
      <w:proofErr w:type="spellStart"/>
      <w:r w:rsidR="00D17457">
        <w:t>R</w:t>
      </w:r>
      <w:r>
        <w:t>esuspend</w:t>
      </w:r>
      <w:proofErr w:type="spellEnd"/>
      <w:r>
        <w:t xml:space="preserve"> the primers </w:t>
      </w:r>
      <w:r w:rsidRPr="00164EF0">
        <w:t xml:space="preserve">in </w:t>
      </w:r>
      <w:r w:rsidR="00164EF0">
        <w:t>PCR grade water</w:t>
      </w:r>
      <w:r w:rsidR="00164EF0" w:rsidRPr="00164EF0">
        <w:t xml:space="preserve"> to 100</w:t>
      </w:r>
      <w:r w:rsidR="00164EF0" w:rsidRPr="00164EF0">
        <w:rPr>
          <w:rFonts w:ascii="Cambria" w:hAnsi="Cambria"/>
        </w:rPr>
        <w:t>μ</w:t>
      </w:r>
      <w:r w:rsidR="00164EF0" w:rsidRPr="00164EF0">
        <w:t>M.</w:t>
      </w:r>
    </w:p>
    <w:p w14:paraId="1F977021" w14:textId="77777777" w:rsidR="00654024" w:rsidRDefault="00654024" w:rsidP="000C08D8">
      <w:pPr>
        <w:jc w:val="both"/>
      </w:pPr>
    </w:p>
    <w:p w14:paraId="0FB55312" w14:textId="77777777" w:rsidR="00D17457" w:rsidRDefault="00D17457" w:rsidP="000C08D8">
      <w:pPr>
        <w:jc w:val="both"/>
      </w:pPr>
    </w:p>
    <w:p w14:paraId="3A408C0B" w14:textId="77777777" w:rsidR="00D17457" w:rsidRDefault="00D17457" w:rsidP="000C08D8">
      <w:pPr>
        <w:jc w:val="both"/>
        <w:rPr>
          <w:b/>
          <w:sz w:val="28"/>
          <w:szCs w:val="28"/>
        </w:rPr>
      </w:pPr>
      <w:r w:rsidRPr="00BC763F">
        <w:rPr>
          <w:b/>
          <w:sz w:val="28"/>
          <w:szCs w:val="28"/>
        </w:rPr>
        <w:t>II. Library preparation</w:t>
      </w:r>
    </w:p>
    <w:p w14:paraId="757BF6C5" w14:textId="77777777" w:rsidR="00BC763F" w:rsidRPr="00BC763F" w:rsidRDefault="00BC763F" w:rsidP="000C08D8">
      <w:pPr>
        <w:jc w:val="both"/>
        <w:rPr>
          <w:b/>
          <w:sz w:val="28"/>
          <w:szCs w:val="28"/>
        </w:rPr>
      </w:pPr>
    </w:p>
    <w:p w14:paraId="594945CE" w14:textId="77777777" w:rsidR="00D17457" w:rsidRPr="002E25D9" w:rsidRDefault="00D17457" w:rsidP="000C08D8">
      <w:pPr>
        <w:pStyle w:val="ListParagraph"/>
        <w:numPr>
          <w:ilvl w:val="0"/>
          <w:numId w:val="5"/>
        </w:numPr>
        <w:jc w:val="both"/>
        <w:rPr>
          <w:b/>
          <w:i/>
        </w:rPr>
      </w:pPr>
      <w:r w:rsidRPr="002E25D9">
        <w:rPr>
          <w:b/>
          <w:i/>
        </w:rPr>
        <w:t>Raw sample preparations</w:t>
      </w:r>
    </w:p>
    <w:p w14:paraId="6B07D86F" w14:textId="66975AC8" w:rsidR="00D17457" w:rsidRDefault="00164EF0" w:rsidP="000C08D8">
      <w:pPr>
        <w:jc w:val="both"/>
      </w:pPr>
      <w:r>
        <w:t>Field samples should be processed according to the requirement of the project and the type of organisms involved. For ectomycorrhizal work, we typically process three types of samples: soil cores, in-growth bag, and whole root system.</w:t>
      </w:r>
    </w:p>
    <w:p w14:paraId="28EB5136" w14:textId="77777777" w:rsidR="00164EF0" w:rsidRDefault="00164EF0" w:rsidP="000C08D8">
      <w:pPr>
        <w:jc w:val="both"/>
      </w:pPr>
    </w:p>
    <w:p w14:paraId="5782A683" w14:textId="59BD05C1" w:rsidR="00164EF0" w:rsidRDefault="00164EF0" w:rsidP="000C08D8">
      <w:pPr>
        <w:pStyle w:val="ListParagraph"/>
        <w:numPr>
          <w:ilvl w:val="0"/>
          <w:numId w:val="7"/>
        </w:numPr>
        <w:jc w:val="both"/>
      </w:pPr>
      <w:r>
        <w:t>For soil cores</w:t>
      </w:r>
      <w:r w:rsidR="00C00540">
        <w:t xml:space="preserve"> – keep the soil cool and process them as quickly as possible from the field. Soil should be mixed well in the sampling bag, </w:t>
      </w:r>
      <w:proofErr w:type="gramStart"/>
      <w:r w:rsidR="00C00540">
        <w:t>then</w:t>
      </w:r>
      <w:proofErr w:type="gramEnd"/>
      <w:r w:rsidR="00C00540">
        <w:t xml:space="preserve"> sieved by using a disposable sieve set following the Kennedy Lab protocol. A designated amount </w:t>
      </w:r>
      <w:r w:rsidR="00314389">
        <w:t xml:space="preserve">of sieved soils </w:t>
      </w:r>
      <w:r w:rsidR="00C00540">
        <w:t>should be weighted out and used for extraction. If extraction cannot be performed during the same day, freeze the sample until they can be extracted.</w:t>
      </w:r>
      <w:r w:rsidR="00314389">
        <w:t xml:space="preserve"> Avoid freeze thaw cycles.</w:t>
      </w:r>
    </w:p>
    <w:p w14:paraId="6D0E4D32" w14:textId="77777777" w:rsidR="00B30811" w:rsidRDefault="00B30811" w:rsidP="000C08D8">
      <w:pPr>
        <w:pStyle w:val="ListParagraph"/>
        <w:jc w:val="both"/>
      </w:pPr>
    </w:p>
    <w:p w14:paraId="1400EEC6" w14:textId="30030C0C" w:rsidR="00C00540" w:rsidRDefault="00314389" w:rsidP="000C08D8">
      <w:pPr>
        <w:pStyle w:val="ListParagraph"/>
        <w:numPr>
          <w:ilvl w:val="0"/>
          <w:numId w:val="7"/>
        </w:numPr>
        <w:jc w:val="both"/>
      </w:pPr>
      <w:r>
        <w:t>For in</w:t>
      </w:r>
      <w:r w:rsidR="000C08D8">
        <w:t>-</w:t>
      </w:r>
      <w:r>
        <w:t>growth bags –</w:t>
      </w:r>
      <w:r w:rsidR="00B30811">
        <w:t xml:space="preserve"> k</w:t>
      </w:r>
      <w:r w:rsidR="00C00540">
        <w:t>eep the bags cool and process as quickly as possible. It is not recommended that the bags be frozen before processing.</w:t>
      </w:r>
    </w:p>
    <w:p w14:paraId="58B46F93" w14:textId="77777777" w:rsidR="00B30811" w:rsidRDefault="00B30811" w:rsidP="000C08D8">
      <w:pPr>
        <w:jc w:val="both"/>
      </w:pPr>
    </w:p>
    <w:p w14:paraId="27070A0B" w14:textId="4D090678" w:rsidR="00D17457" w:rsidRDefault="000C08D8" w:rsidP="000C08D8">
      <w:pPr>
        <w:pStyle w:val="ListParagraph"/>
        <w:numPr>
          <w:ilvl w:val="0"/>
          <w:numId w:val="7"/>
        </w:numPr>
        <w:jc w:val="both"/>
      </w:pPr>
      <w:r>
        <w:t xml:space="preserve">For whole root </w:t>
      </w:r>
      <w:r w:rsidR="00B30811">
        <w:t>system</w:t>
      </w:r>
      <w:r>
        <w:t>s</w:t>
      </w:r>
      <w:r w:rsidR="00B30811">
        <w:t xml:space="preserve"> –</w:t>
      </w:r>
      <w:r w:rsidR="00C00540">
        <w:t xml:space="preserve"> follow the method by Nguyen &amp; </w:t>
      </w:r>
      <w:proofErr w:type="spellStart"/>
      <w:r w:rsidR="00C00540">
        <w:t>Bruns</w:t>
      </w:r>
      <w:proofErr w:type="spellEnd"/>
      <w:r w:rsidR="00C00540">
        <w:t xml:space="preserve"> (in prep). In short, wash the root system free from soil as much as possible. Then in a small tray of water, remove all the </w:t>
      </w:r>
      <w:proofErr w:type="spellStart"/>
      <w:r w:rsidR="00C00540">
        <w:t>mycorrhizal</w:t>
      </w:r>
      <w:proofErr w:type="spellEnd"/>
      <w:r w:rsidR="00C00540">
        <w:t xml:space="preserve"> root-tips by gently rubbing them between your fingers. Filter out the </w:t>
      </w:r>
      <w:proofErr w:type="spellStart"/>
      <w:r w:rsidR="00C00540">
        <w:t>mycorrhizal</w:t>
      </w:r>
      <w:proofErr w:type="spellEnd"/>
      <w:r w:rsidR="00C00540">
        <w:t xml:space="preserve"> root-tips, dry them at 40</w:t>
      </w:r>
      <w:r w:rsidR="00314389">
        <w:rPr>
          <w:rFonts w:ascii="Cambria" w:hAnsi="Cambria"/>
        </w:rPr>
        <w:t>°</w:t>
      </w:r>
      <w:r w:rsidR="00C00540">
        <w:t xml:space="preserve">C for an hour or until well </w:t>
      </w:r>
      <w:r w:rsidR="00314389">
        <w:t>dehydrated</w:t>
      </w:r>
      <w:r w:rsidR="00C00540">
        <w:t>, crush them gently</w:t>
      </w:r>
      <w:r w:rsidR="00085B98">
        <w:t xml:space="preserve"> to mix the root-tips together.</w:t>
      </w:r>
    </w:p>
    <w:p w14:paraId="2F83AC37" w14:textId="77777777" w:rsidR="00085B98" w:rsidRDefault="00085B98" w:rsidP="000C08D8">
      <w:pPr>
        <w:pStyle w:val="ListParagraph"/>
        <w:jc w:val="both"/>
      </w:pPr>
    </w:p>
    <w:p w14:paraId="54191B3E" w14:textId="77777777" w:rsidR="00D17457" w:rsidRPr="002E25D9" w:rsidRDefault="00D17457" w:rsidP="000C08D8">
      <w:pPr>
        <w:pStyle w:val="ListParagraph"/>
        <w:numPr>
          <w:ilvl w:val="0"/>
          <w:numId w:val="5"/>
        </w:numPr>
        <w:jc w:val="both"/>
        <w:rPr>
          <w:b/>
          <w:i/>
        </w:rPr>
      </w:pPr>
      <w:r w:rsidRPr="002E25D9">
        <w:rPr>
          <w:b/>
          <w:i/>
        </w:rPr>
        <w:t xml:space="preserve">DNA extraction and </w:t>
      </w:r>
      <w:proofErr w:type="spellStart"/>
      <w:r w:rsidRPr="002E25D9">
        <w:rPr>
          <w:b/>
          <w:i/>
        </w:rPr>
        <w:t>clean-up</w:t>
      </w:r>
      <w:proofErr w:type="spellEnd"/>
    </w:p>
    <w:p w14:paraId="3D01C92B" w14:textId="408BE987" w:rsidR="00B30811" w:rsidRDefault="00B30811" w:rsidP="000C08D8">
      <w:pPr>
        <w:pStyle w:val="ListParagraph"/>
        <w:numPr>
          <w:ilvl w:val="0"/>
          <w:numId w:val="7"/>
        </w:numPr>
        <w:jc w:val="both"/>
      </w:pPr>
      <w:r>
        <w:t>For soil core</w:t>
      </w:r>
      <w:r w:rsidR="000C08D8">
        <w:t>s</w:t>
      </w:r>
      <w:r>
        <w:t xml:space="preserve"> –</w:t>
      </w:r>
      <w:r w:rsidR="00C00540">
        <w:t xml:space="preserve"> follow the methods described by the </w:t>
      </w:r>
      <w:proofErr w:type="spellStart"/>
      <w:r w:rsidR="00C00540">
        <w:t>UMFuN</w:t>
      </w:r>
      <w:proofErr w:type="spellEnd"/>
      <w:r w:rsidR="00C00540">
        <w:t xml:space="preserve"> sequencing initiative (</w:t>
      </w:r>
      <w:hyperlink r:id="rId9" w:history="1">
        <w:r w:rsidR="00783097" w:rsidRPr="00783097">
          <w:rPr>
            <w:rStyle w:val="Hyperlink"/>
            <w:sz w:val="22"/>
            <w:szCs w:val="22"/>
          </w:rPr>
          <w:t>Song et al. 2015. PLOS ONE 10: e0127234</w:t>
        </w:r>
      </w:hyperlink>
      <w:r w:rsidR="00783097">
        <w:t>). The MOBIO soil extraction kits generally produce good DNA for PCR amplification.</w:t>
      </w:r>
    </w:p>
    <w:p w14:paraId="775A2A5D" w14:textId="77777777" w:rsidR="00783097" w:rsidRDefault="00783097" w:rsidP="00783097">
      <w:pPr>
        <w:pStyle w:val="ListParagraph"/>
        <w:jc w:val="both"/>
      </w:pPr>
    </w:p>
    <w:p w14:paraId="43D7EAA4" w14:textId="0837ED48" w:rsidR="00C00540" w:rsidRDefault="00B30811" w:rsidP="000C08D8">
      <w:pPr>
        <w:pStyle w:val="ListParagraph"/>
        <w:numPr>
          <w:ilvl w:val="0"/>
          <w:numId w:val="7"/>
        </w:numPr>
        <w:jc w:val="both"/>
      </w:pPr>
      <w:r>
        <w:t>For in</w:t>
      </w:r>
      <w:r w:rsidR="000C08D8">
        <w:t>-</w:t>
      </w:r>
      <w:r>
        <w:t>growth bags –</w:t>
      </w:r>
      <w:r w:rsidR="00C00540">
        <w:t xml:space="preserve"> foll</w:t>
      </w:r>
      <w:r w:rsidR="00783097">
        <w:t xml:space="preserve">ow the </w:t>
      </w:r>
      <w:proofErr w:type="spellStart"/>
      <w:r w:rsidR="00783097">
        <w:t>hyphal</w:t>
      </w:r>
      <w:proofErr w:type="spellEnd"/>
      <w:r w:rsidR="00783097">
        <w:t xml:space="preserve"> floating method</w:t>
      </w:r>
      <w:r w:rsidR="00C00540">
        <w:t xml:space="preserve"> </w:t>
      </w:r>
      <w:r w:rsidR="00783097">
        <w:t>(</w:t>
      </w:r>
      <w:hyperlink r:id="rId10" w:history="1">
        <w:proofErr w:type="spellStart"/>
        <w:r w:rsidR="00783097" w:rsidRPr="00783097">
          <w:rPr>
            <w:rStyle w:val="Hyperlink"/>
            <w:sz w:val="22"/>
            <w:szCs w:val="22"/>
          </w:rPr>
          <w:t>Branco</w:t>
        </w:r>
        <w:proofErr w:type="spellEnd"/>
        <w:r w:rsidR="00783097" w:rsidRPr="00783097">
          <w:rPr>
            <w:rStyle w:val="Hyperlink"/>
            <w:sz w:val="22"/>
            <w:szCs w:val="22"/>
          </w:rPr>
          <w:t xml:space="preserve"> et al. 2013. PLOS ONE 8:e78295</w:t>
        </w:r>
      </w:hyperlink>
      <w:r w:rsidR="00783097">
        <w:t>).</w:t>
      </w:r>
      <w:r w:rsidR="00085B98">
        <w:t xml:space="preserve"> In short, pour the contents of the ingrowth</w:t>
      </w:r>
      <w:r>
        <w:t xml:space="preserve"> bags into 10 ml</w:t>
      </w:r>
      <w:r w:rsidR="00085B98">
        <w:t xml:space="preserve"> of ddH</w:t>
      </w:r>
      <w:r w:rsidR="00085B98" w:rsidRPr="00B30811">
        <w:rPr>
          <w:vertAlign w:val="subscript"/>
        </w:rPr>
        <w:t>2</w:t>
      </w:r>
      <w:r w:rsidR="000C08D8">
        <w:t>O, then vortex</w:t>
      </w:r>
      <w:r>
        <w:t>. Use 2 ml of the supernatant, pellet the fungi, and run the pellet through any tissue DNA extraction kit.</w:t>
      </w:r>
      <w:r w:rsidR="000C08D8">
        <w:t xml:space="preserve">  The Sigma extraction protocol is one cheap and easy approach.</w:t>
      </w:r>
    </w:p>
    <w:p w14:paraId="724F44C7" w14:textId="77777777" w:rsidR="00B30811" w:rsidRDefault="00B30811" w:rsidP="000C08D8">
      <w:pPr>
        <w:jc w:val="both"/>
      </w:pPr>
    </w:p>
    <w:p w14:paraId="538818E5" w14:textId="29DC17EB" w:rsidR="00085B98" w:rsidRDefault="000C08D8" w:rsidP="000C08D8">
      <w:pPr>
        <w:pStyle w:val="ListParagraph"/>
        <w:numPr>
          <w:ilvl w:val="0"/>
          <w:numId w:val="7"/>
        </w:numPr>
        <w:jc w:val="both"/>
      </w:pPr>
      <w:r>
        <w:t xml:space="preserve">For whole root </w:t>
      </w:r>
      <w:r w:rsidR="00B30811">
        <w:t>system</w:t>
      </w:r>
      <w:r>
        <w:t>s</w:t>
      </w:r>
      <w:r w:rsidR="00B30811">
        <w:t xml:space="preserve"> –</w:t>
      </w:r>
      <w:r w:rsidR="00C00540">
        <w:t xml:space="preserve"> follow the method by Nguyen &amp; </w:t>
      </w:r>
      <w:proofErr w:type="spellStart"/>
      <w:r w:rsidR="00C00540">
        <w:t>Bruns</w:t>
      </w:r>
      <w:proofErr w:type="spellEnd"/>
      <w:r w:rsidR="00C00540">
        <w:t xml:space="preserve"> (in prep).</w:t>
      </w:r>
      <w:r w:rsidR="00085B98">
        <w:t xml:space="preserve"> In short, weigh out 20</w:t>
      </w:r>
      <w:r w:rsidR="00B30811">
        <w:t xml:space="preserve"> </w:t>
      </w:r>
      <w:r w:rsidR="00085B98">
        <w:t>mg</w:t>
      </w:r>
      <w:r w:rsidR="00B30811">
        <w:t xml:space="preserve"> of the dried and mixed root-tips</w:t>
      </w:r>
      <w:r w:rsidR="00085B98">
        <w:t>, bead beat the tissue</w:t>
      </w:r>
      <w:r w:rsidR="00B30811">
        <w:t xml:space="preserve"> into powder</w:t>
      </w:r>
      <w:r w:rsidR="00085B98">
        <w:t xml:space="preserve">, </w:t>
      </w:r>
      <w:proofErr w:type="spellStart"/>
      <w:r w:rsidR="00085B98">
        <w:t>res</w:t>
      </w:r>
      <w:r w:rsidR="0079373F">
        <w:t>uspend</w:t>
      </w:r>
      <w:proofErr w:type="spellEnd"/>
      <w:r w:rsidR="0079373F">
        <w:t xml:space="preserve"> in 2% CTAB buffer with 2</w:t>
      </w:r>
      <w:r w:rsidR="00085B98">
        <w:t>% PVP</w:t>
      </w:r>
      <w:r w:rsidR="00CC48E0">
        <w:t>-40</w:t>
      </w:r>
      <w:r w:rsidR="00085B98">
        <w:t>, and extract using chloroform followed by</w:t>
      </w:r>
      <w:r w:rsidR="00B30811">
        <w:t xml:space="preserve"> isopropanol precipitation and ethanol dehydration.</w:t>
      </w:r>
    </w:p>
    <w:p w14:paraId="4D516287" w14:textId="66E0A789" w:rsidR="00C00540" w:rsidRDefault="00C00540" w:rsidP="000C08D8">
      <w:pPr>
        <w:pStyle w:val="ListParagraph"/>
        <w:jc w:val="both"/>
      </w:pPr>
    </w:p>
    <w:p w14:paraId="7E259BA2" w14:textId="72BCCDF9" w:rsidR="00085B98" w:rsidRDefault="00085B98" w:rsidP="000C08D8">
      <w:pPr>
        <w:pStyle w:val="ListParagraph"/>
        <w:ind w:left="360"/>
        <w:jc w:val="both"/>
      </w:pPr>
      <w:r>
        <w:t xml:space="preserve">As recommended above, the DNA should be as clean as possible to avoid trouble downstream. Quantify and check the quality of the DNA. If the quality is not good, run the DNA again through any </w:t>
      </w:r>
      <w:proofErr w:type="spellStart"/>
      <w:r>
        <w:t>clean-up</w:t>
      </w:r>
      <w:proofErr w:type="spellEnd"/>
      <w:r>
        <w:t xml:space="preserve"> kit. Soil samples often have PCR inhibitors and should be cleaned</w:t>
      </w:r>
      <w:r w:rsidR="00783097">
        <w:t xml:space="preserve"> and quantified</w:t>
      </w:r>
      <w:r>
        <w:t>.</w:t>
      </w:r>
    </w:p>
    <w:p w14:paraId="75559A9B" w14:textId="77777777" w:rsidR="00085B98" w:rsidRDefault="00085B98" w:rsidP="000C08D8">
      <w:pPr>
        <w:pStyle w:val="ListParagraph"/>
        <w:ind w:left="360"/>
        <w:jc w:val="both"/>
      </w:pPr>
    </w:p>
    <w:p w14:paraId="09BBCD49" w14:textId="7B599037" w:rsidR="00085B98" w:rsidRDefault="00B30811" w:rsidP="000C08D8">
      <w:pPr>
        <w:pStyle w:val="ListParagraph"/>
        <w:ind w:left="360"/>
        <w:jc w:val="both"/>
      </w:pPr>
      <w:r>
        <w:t>To</w:t>
      </w:r>
      <w:r w:rsidR="00085B98">
        <w:t xml:space="preserve"> minimize PCR bias, all samples should contain about the same amount of DNA. 25ng/</w:t>
      </w:r>
      <w:proofErr w:type="spellStart"/>
      <w:r>
        <w:rPr>
          <w:rFonts w:ascii="Cambria" w:hAnsi="Cambria"/>
        </w:rPr>
        <w:t>μ</w:t>
      </w:r>
      <w:r w:rsidR="00085B98">
        <w:t>l</w:t>
      </w:r>
      <w:proofErr w:type="spellEnd"/>
      <w:r w:rsidR="00085B98">
        <w:t xml:space="preserve"> is very good for PCR. Dilute or concentrate your DNA to get an even volume for all samples.</w:t>
      </w:r>
    </w:p>
    <w:p w14:paraId="7000B584" w14:textId="77777777" w:rsidR="00D17457" w:rsidRDefault="00D17457" w:rsidP="000C08D8">
      <w:pPr>
        <w:jc w:val="both"/>
      </w:pPr>
    </w:p>
    <w:p w14:paraId="66A24C5E" w14:textId="77777777" w:rsidR="005865B3" w:rsidRPr="004E765B" w:rsidRDefault="005865B3" w:rsidP="000C08D8">
      <w:pPr>
        <w:pStyle w:val="ListParagraph"/>
        <w:numPr>
          <w:ilvl w:val="0"/>
          <w:numId w:val="5"/>
        </w:numPr>
        <w:jc w:val="both"/>
        <w:rPr>
          <w:b/>
          <w:i/>
        </w:rPr>
      </w:pPr>
      <w:r w:rsidRPr="004E765B">
        <w:rPr>
          <w:b/>
          <w:i/>
        </w:rPr>
        <w:t>Organization of your samples</w:t>
      </w:r>
    </w:p>
    <w:p w14:paraId="7B58B067" w14:textId="36BAF45C" w:rsidR="005865B3" w:rsidRDefault="005865B3" w:rsidP="000C08D8">
      <w:pPr>
        <w:pStyle w:val="ListParagraph"/>
        <w:ind w:left="360"/>
        <w:jc w:val="both"/>
      </w:pPr>
      <w:r>
        <w:t xml:space="preserve">It’s crucial to keep good records of which sample was amplified with which barcoded primer. The best way to keep track of this is to use the “mapping file” that is </w:t>
      </w:r>
      <w:r w:rsidR="00CC48E0">
        <w:t xml:space="preserve">also </w:t>
      </w:r>
      <w:r>
        <w:t xml:space="preserve">used later in </w:t>
      </w:r>
      <w:r w:rsidR="00CC48E0">
        <w:t>downstream QIIME analyse</w:t>
      </w:r>
      <w:r>
        <w:t>s. See the documentation on how to produce this file at (</w:t>
      </w:r>
      <w:hyperlink r:id="rId11" w:history="1">
        <w:r w:rsidRPr="00604C48">
          <w:rPr>
            <w:rStyle w:val="Hyperlink"/>
          </w:rPr>
          <w:t>http://qiime.org/documentation/file_formats.html</w:t>
        </w:r>
      </w:hyperlink>
      <w:r>
        <w:t>).</w:t>
      </w:r>
    </w:p>
    <w:p w14:paraId="024F22AB" w14:textId="77777777" w:rsidR="005865B3" w:rsidRDefault="005865B3" w:rsidP="000C08D8">
      <w:pPr>
        <w:pStyle w:val="ListParagraph"/>
        <w:ind w:left="360"/>
        <w:jc w:val="both"/>
      </w:pPr>
    </w:p>
    <w:p w14:paraId="020721A4" w14:textId="1F8C73C2" w:rsidR="005865B3" w:rsidRPr="005865B3" w:rsidRDefault="00D17457" w:rsidP="000C08D8">
      <w:pPr>
        <w:pStyle w:val="ListParagraph"/>
        <w:numPr>
          <w:ilvl w:val="0"/>
          <w:numId w:val="5"/>
        </w:numPr>
        <w:jc w:val="both"/>
        <w:rPr>
          <w:b/>
          <w:i/>
        </w:rPr>
      </w:pPr>
      <w:r w:rsidRPr="002E25D9">
        <w:rPr>
          <w:b/>
          <w:i/>
        </w:rPr>
        <w:t>PCR primer set-up</w:t>
      </w:r>
    </w:p>
    <w:p w14:paraId="1173A28E" w14:textId="76554A8F" w:rsidR="00AF3D82" w:rsidRDefault="00AD1473" w:rsidP="000C08D8">
      <w:pPr>
        <w:ind w:left="360"/>
        <w:jc w:val="both"/>
      </w:pPr>
      <w:r>
        <w:t xml:space="preserve">The PCR primers that you ordered </w:t>
      </w:r>
      <w:proofErr w:type="gramStart"/>
      <w:r>
        <w:t>will</w:t>
      </w:r>
      <w:proofErr w:type="gramEnd"/>
      <w:r>
        <w:t xml:space="preserve"> most-likely come in dehydrated form. If you have not done so already</w:t>
      </w:r>
      <w:r w:rsidR="00AF3D82">
        <w:t xml:space="preserve">, </w:t>
      </w:r>
      <w:proofErr w:type="spellStart"/>
      <w:r w:rsidR="00AF3D82">
        <w:t>resuspend</w:t>
      </w:r>
      <w:proofErr w:type="spellEnd"/>
      <w:r w:rsidR="00AF3D82">
        <w:t xml:space="preserve"> each tube to 100uM</w:t>
      </w:r>
      <w:r w:rsidR="00107F69">
        <w:t xml:space="preserve"> with TE buffer</w:t>
      </w:r>
      <w:r w:rsidR="00AF3D82">
        <w:t xml:space="preserve">. Prepare the primer </w:t>
      </w:r>
      <w:r w:rsidR="0053365A">
        <w:t>mix by first diluting each primer set</w:t>
      </w:r>
      <w:r w:rsidR="00107F69">
        <w:t xml:space="preserve"> (barcoded and non-barcoded)</w:t>
      </w:r>
      <w:r w:rsidR="0053365A">
        <w:t>, then mixing them together. Strip tubes with individual caps are best for this. Even though plates are more convenient, they are not recommended because the possibility of cross contamination is too high</w:t>
      </w:r>
      <w:r w:rsidR="00107F69">
        <w:t xml:space="preserve"> during primer and PCR preparations.</w:t>
      </w:r>
    </w:p>
    <w:p w14:paraId="71BD1C1A" w14:textId="77777777" w:rsidR="00AF3D82" w:rsidRDefault="00AF3D82" w:rsidP="000C08D8">
      <w:pPr>
        <w:ind w:left="360"/>
        <w:jc w:val="both"/>
      </w:pPr>
    </w:p>
    <w:p w14:paraId="0AC78909" w14:textId="6F47B012" w:rsidR="00616505" w:rsidRDefault="00616505" w:rsidP="000C08D8">
      <w:pPr>
        <w:pStyle w:val="ListParagraph"/>
        <w:ind w:left="360"/>
        <w:jc w:val="both"/>
      </w:pPr>
      <w:r>
        <w:t xml:space="preserve">Generally, you should only mix enough primers for several PCR reactions because long-term storage causes evaporation and will skew primer concentration. Too much primers in a PCR reaction causes primer dimers and will get sequenced, wasting chip space that could otherwise be used for actual sequences. Because of the size of these dimers </w:t>
      </w:r>
      <w:r w:rsidR="000C08D8">
        <w:t xml:space="preserve">(due to </w:t>
      </w:r>
      <w:r>
        <w:t>long</w:t>
      </w:r>
      <w:r w:rsidR="000C08D8">
        <w:t>er</w:t>
      </w:r>
      <w:r>
        <w:t xml:space="preserve"> primers</w:t>
      </w:r>
      <w:r w:rsidR="000C08D8">
        <w:t xml:space="preserve"> used)</w:t>
      </w:r>
      <w:r>
        <w:t xml:space="preserve">, they are difficult to get rid of without a precise method of band selection such as gel excision. </w:t>
      </w:r>
    </w:p>
    <w:p w14:paraId="00710488" w14:textId="77777777" w:rsidR="00616505" w:rsidRDefault="00616505" w:rsidP="000C08D8">
      <w:pPr>
        <w:jc w:val="both"/>
      </w:pPr>
    </w:p>
    <w:p w14:paraId="51FA3FCD" w14:textId="6ECCC980" w:rsidR="00616505" w:rsidRDefault="00874FBB" w:rsidP="000C08D8">
      <w:pPr>
        <w:ind w:firstLine="360"/>
        <w:jc w:val="both"/>
      </w:pPr>
      <w:r>
        <w:t>The standard mix for 1</w:t>
      </w:r>
      <w:r w:rsidR="00616505">
        <w:t xml:space="preserve">0 </w:t>
      </w:r>
      <w:proofErr w:type="spellStart"/>
      <w:r w:rsidR="00616505" w:rsidRPr="00874FBB">
        <w:rPr>
          <w:rFonts w:ascii="Cambria" w:hAnsi="Cambria"/>
        </w:rPr>
        <w:t>μ</w:t>
      </w:r>
      <w:r w:rsidR="00616505">
        <w:t>l</w:t>
      </w:r>
      <w:proofErr w:type="spellEnd"/>
      <w:r w:rsidR="00616505">
        <w:t xml:space="preserve"> of 10</w:t>
      </w:r>
      <w:r w:rsidR="00616505" w:rsidRPr="00874FBB">
        <w:rPr>
          <w:rFonts w:ascii="Cambria" w:hAnsi="Cambria"/>
        </w:rPr>
        <w:t>μ</w:t>
      </w:r>
      <w:r w:rsidR="00616505">
        <w:t>M primers:</w:t>
      </w:r>
    </w:p>
    <w:p w14:paraId="086E6C79" w14:textId="5CE14B07" w:rsidR="00616505" w:rsidRDefault="00616505" w:rsidP="000C08D8">
      <w:pPr>
        <w:ind w:firstLine="360"/>
        <w:jc w:val="both"/>
      </w:pPr>
      <w:r>
        <w:t xml:space="preserve">1 </w:t>
      </w:r>
      <w:proofErr w:type="spellStart"/>
      <w:r w:rsidRPr="00874FBB">
        <w:rPr>
          <w:rFonts w:ascii="Cambria" w:hAnsi="Cambria"/>
        </w:rPr>
        <w:t>μ</w:t>
      </w:r>
      <w:r>
        <w:t>l</w:t>
      </w:r>
      <w:proofErr w:type="spellEnd"/>
      <w:r>
        <w:t xml:space="preserve">, </w:t>
      </w:r>
      <w:proofErr w:type="gramStart"/>
      <w:r>
        <w:t xml:space="preserve">100 </w:t>
      </w:r>
      <w:proofErr w:type="spellStart"/>
      <w:r w:rsidRPr="00874FBB">
        <w:rPr>
          <w:rFonts w:ascii="Cambria" w:hAnsi="Cambria"/>
        </w:rPr>
        <w:t>μ</w:t>
      </w:r>
      <w:r>
        <w:t>M</w:t>
      </w:r>
      <w:proofErr w:type="spellEnd"/>
      <w:proofErr w:type="gramEnd"/>
      <w:r>
        <w:t xml:space="preserve"> barcoded primer</w:t>
      </w:r>
    </w:p>
    <w:p w14:paraId="0F6A8D2E" w14:textId="3866318E" w:rsidR="00616505" w:rsidRDefault="00616505" w:rsidP="000C08D8">
      <w:pPr>
        <w:ind w:firstLine="360"/>
        <w:jc w:val="both"/>
      </w:pPr>
      <w:r>
        <w:t xml:space="preserve">1 </w:t>
      </w:r>
      <w:proofErr w:type="spellStart"/>
      <w:r w:rsidRPr="00874FBB">
        <w:rPr>
          <w:rFonts w:ascii="Cambria" w:hAnsi="Cambria"/>
        </w:rPr>
        <w:t>μ</w:t>
      </w:r>
      <w:r>
        <w:t>l</w:t>
      </w:r>
      <w:proofErr w:type="spellEnd"/>
      <w:r>
        <w:t xml:space="preserve">, </w:t>
      </w:r>
      <w:proofErr w:type="gramStart"/>
      <w:r>
        <w:t xml:space="preserve">100 </w:t>
      </w:r>
      <w:proofErr w:type="spellStart"/>
      <w:r w:rsidRPr="00874FBB">
        <w:rPr>
          <w:rFonts w:ascii="Cambria" w:hAnsi="Cambria"/>
        </w:rPr>
        <w:t>μ</w:t>
      </w:r>
      <w:r>
        <w:t>M</w:t>
      </w:r>
      <w:proofErr w:type="spellEnd"/>
      <w:proofErr w:type="gramEnd"/>
      <w:r>
        <w:t xml:space="preserve"> non-barcoded primer</w:t>
      </w:r>
    </w:p>
    <w:p w14:paraId="35558FA4" w14:textId="7D62490F" w:rsidR="00616505" w:rsidRDefault="00616505" w:rsidP="000C08D8">
      <w:pPr>
        <w:ind w:firstLine="360"/>
        <w:jc w:val="both"/>
      </w:pPr>
      <w:proofErr w:type="gramStart"/>
      <w:r>
        <w:t>18</w:t>
      </w:r>
      <w:r w:rsidR="00874FBB">
        <w:t xml:space="preserve"> </w:t>
      </w:r>
      <w:proofErr w:type="spellStart"/>
      <w:r w:rsidR="00874FBB" w:rsidRPr="00874FBB">
        <w:rPr>
          <w:rFonts w:ascii="Cambria" w:hAnsi="Cambria"/>
        </w:rPr>
        <w:t>μ</w:t>
      </w:r>
      <w:r>
        <w:t>l</w:t>
      </w:r>
      <w:proofErr w:type="spellEnd"/>
      <w:proofErr w:type="gramEnd"/>
      <w:r>
        <w:t xml:space="preserve"> TE buffer</w:t>
      </w:r>
    </w:p>
    <w:p w14:paraId="14862A03" w14:textId="77777777" w:rsidR="00874FBB" w:rsidRDefault="00874FBB" w:rsidP="000C08D8">
      <w:pPr>
        <w:pStyle w:val="ListParagraph"/>
        <w:jc w:val="both"/>
      </w:pPr>
    </w:p>
    <w:p w14:paraId="5E3B2932" w14:textId="1EA83B35" w:rsidR="00874FBB" w:rsidRDefault="00874FBB" w:rsidP="000C08D8">
      <w:pPr>
        <w:pStyle w:val="ListParagraph"/>
        <w:numPr>
          <w:ilvl w:val="0"/>
          <w:numId w:val="9"/>
        </w:numPr>
        <w:ind w:left="720"/>
        <w:jc w:val="both"/>
      </w:pPr>
      <w:r>
        <w:t xml:space="preserve">Make a master mix of your non-barcoded primer in a 2 ml </w:t>
      </w:r>
      <w:proofErr w:type="spellStart"/>
      <w:r>
        <w:t>eppi</w:t>
      </w:r>
      <w:proofErr w:type="spellEnd"/>
      <w:r>
        <w:t xml:space="preserve"> tube. If you are preparing a 96 primer samples, and want 10ul of primers per tube, mix: 1746 </w:t>
      </w:r>
      <w:proofErr w:type="spellStart"/>
      <w:r w:rsidRPr="00874FBB">
        <w:rPr>
          <w:rFonts w:ascii="Cambria" w:hAnsi="Cambria"/>
        </w:rPr>
        <w:t>μ</w:t>
      </w:r>
      <w:r>
        <w:t>l</w:t>
      </w:r>
      <w:proofErr w:type="spellEnd"/>
      <w:r>
        <w:t xml:space="preserve"> of TE and 97 </w:t>
      </w:r>
      <w:proofErr w:type="spellStart"/>
      <w:r w:rsidRPr="00874FBB">
        <w:rPr>
          <w:rFonts w:ascii="Cambria" w:hAnsi="Cambria"/>
        </w:rPr>
        <w:t>μ</w:t>
      </w:r>
      <w:r>
        <w:t>l</w:t>
      </w:r>
      <w:proofErr w:type="spellEnd"/>
      <w:r>
        <w:t xml:space="preserve"> (+1 extra) of </w:t>
      </w:r>
      <w:proofErr w:type="gramStart"/>
      <w:r>
        <w:t xml:space="preserve">100 </w:t>
      </w:r>
      <w:proofErr w:type="spellStart"/>
      <w:r>
        <w:rPr>
          <w:rFonts w:ascii="Cambria" w:hAnsi="Cambria"/>
        </w:rPr>
        <w:t>μ</w:t>
      </w:r>
      <w:r>
        <w:t>M</w:t>
      </w:r>
      <w:proofErr w:type="spellEnd"/>
      <w:proofErr w:type="gramEnd"/>
      <w:r>
        <w:t xml:space="preserve"> non-barcoded primer. Mix well. Dispense 10ul of the dilute primer into each tube.</w:t>
      </w:r>
    </w:p>
    <w:p w14:paraId="71C552A8" w14:textId="77777777" w:rsidR="00874FBB" w:rsidRDefault="00874FBB" w:rsidP="000C08D8">
      <w:pPr>
        <w:pStyle w:val="ListParagraph"/>
        <w:jc w:val="both"/>
      </w:pPr>
    </w:p>
    <w:p w14:paraId="3539751D" w14:textId="67F6CA9E" w:rsidR="00874FBB" w:rsidRDefault="00874FBB" w:rsidP="000C08D8">
      <w:pPr>
        <w:pStyle w:val="ListParagraph"/>
        <w:jc w:val="both"/>
      </w:pPr>
      <w:r>
        <w:t xml:space="preserve">To each of the tubes, add 1 </w:t>
      </w:r>
      <w:proofErr w:type="spellStart"/>
      <w:r>
        <w:rPr>
          <w:rFonts w:ascii="Cambria" w:hAnsi="Cambria"/>
        </w:rPr>
        <w:t>μl</w:t>
      </w:r>
      <w:proofErr w:type="spellEnd"/>
      <w:r>
        <w:rPr>
          <w:rFonts w:ascii="Cambria" w:hAnsi="Cambria"/>
        </w:rPr>
        <w:t xml:space="preserve"> of </w:t>
      </w:r>
      <w:proofErr w:type="gramStart"/>
      <w:r>
        <w:rPr>
          <w:rFonts w:ascii="Cambria" w:hAnsi="Cambria"/>
        </w:rPr>
        <w:t xml:space="preserve">100 </w:t>
      </w:r>
      <w:proofErr w:type="spellStart"/>
      <w:r>
        <w:rPr>
          <w:rFonts w:ascii="Cambria" w:hAnsi="Cambria"/>
        </w:rPr>
        <w:t>μM</w:t>
      </w:r>
      <w:proofErr w:type="spellEnd"/>
      <w:proofErr w:type="gramEnd"/>
      <w:r>
        <w:rPr>
          <w:rFonts w:ascii="Cambria" w:hAnsi="Cambria"/>
        </w:rPr>
        <w:t xml:space="preserve"> barcoded primer. This should give you a total of 20 </w:t>
      </w:r>
      <w:proofErr w:type="spellStart"/>
      <w:r>
        <w:rPr>
          <w:rFonts w:ascii="Cambria" w:hAnsi="Cambria"/>
        </w:rPr>
        <w:t>μl</w:t>
      </w:r>
      <w:proofErr w:type="spellEnd"/>
      <w:r>
        <w:rPr>
          <w:rFonts w:ascii="Cambria" w:hAnsi="Cambria"/>
        </w:rPr>
        <w:t xml:space="preserve"> of 10μM primers</w:t>
      </w:r>
      <w:r>
        <w:t>, which is enough for 28 PCR reactions.</w:t>
      </w:r>
    </w:p>
    <w:p w14:paraId="1C140EC1" w14:textId="77777777" w:rsidR="005865B3" w:rsidRDefault="005865B3" w:rsidP="000C08D8">
      <w:pPr>
        <w:pStyle w:val="ListParagraph"/>
        <w:jc w:val="both"/>
      </w:pPr>
    </w:p>
    <w:p w14:paraId="436A20BB" w14:textId="00FD9A46" w:rsidR="00AF3D82" w:rsidRDefault="00AF3D82" w:rsidP="000C08D8">
      <w:pPr>
        <w:pStyle w:val="ListParagraph"/>
        <w:numPr>
          <w:ilvl w:val="0"/>
          <w:numId w:val="9"/>
        </w:numPr>
        <w:ind w:left="720"/>
        <w:jc w:val="both"/>
      </w:pPr>
      <w:r>
        <w:t xml:space="preserve">Make a </w:t>
      </w:r>
      <w:r w:rsidR="00874FBB">
        <w:t xml:space="preserve">primer </w:t>
      </w:r>
      <w:r>
        <w:t xml:space="preserve">map </w:t>
      </w:r>
      <w:r w:rsidR="00874FBB">
        <w:t>(see “</w:t>
      </w:r>
      <w:r w:rsidR="005865B3">
        <w:rPr>
          <w:i/>
        </w:rPr>
        <w:t>3</w:t>
      </w:r>
      <w:r w:rsidR="00874FBB" w:rsidRPr="00874FBB">
        <w:rPr>
          <w:i/>
        </w:rPr>
        <w:t>. Organization of your samples</w:t>
      </w:r>
      <w:r w:rsidR="00874FBB">
        <w:t xml:space="preserve">”) </w:t>
      </w:r>
      <w:r>
        <w:t xml:space="preserve">so that you know which barcoded primer went into which tube. This step is essential because any mistakes here will affect the identity of your sequenced sample later on. Make sure there are NO mistakes. If you </w:t>
      </w:r>
      <w:r w:rsidR="00D54016">
        <w:t xml:space="preserve">think there is even a slight possibility that a mistake happened, start over. You have plenty of primers to play with. The other thing to watch out for is cross contamination. If for any reason cross contamination occurred, start over with a </w:t>
      </w:r>
      <w:r w:rsidR="0053365A">
        <w:t>fresh batch</w:t>
      </w:r>
      <w:r w:rsidR="00D54016">
        <w:t>!</w:t>
      </w:r>
    </w:p>
    <w:p w14:paraId="6FA5DF23" w14:textId="77777777" w:rsidR="0053365A" w:rsidRDefault="0053365A" w:rsidP="000C08D8">
      <w:pPr>
        <w:jc w:val="both"/>
      </w:pPr>
    </w:p>
    <w:p w14:paraId="27BA9066" w14:textId="12696073" w:rsidR="0053365A" w:rsidRDefault="0053365A" w:rsidP="000C08D8">
      <w:pPr>
        <w:pStyle w:val="ListParagraph"/>
        <w:numPr>
          <w:ilvl w:val="0"/>
          <w:numId w:val="9"/>
        </w:numPr>
        <w:ind w:left="720"/>
        <w:jc w:val="both"/>
      </w:pPr>
      <w:r>
        <w:t>Primer storage</w:t>
      </w:r>
    </w:p>
    <w:p w14:paraId="78A96736" w14:textId="6BA0E3B6" w:rsidR="0053365A" w:rsidRDefault="0053365A" w:rsidP="000C08D8">
      <w:pPr>
        <w:ind w:left="720"/>
        <w:jc w:val="both"/>
      </w:pPr>
      <w:r>
        <w:t>Store all your primers at -20</w:t>
      </w:r>
      <w:r w:rsidR="00521CBF">
        <w:rPr>
          <w:rFonts w:ascii="Cambria" w:hAnsi="Cambria"/>
        </w:rPr>
        <w:t>°</w:t>
      </w:r>
      <w:r>
        <w:t xml:space="preserve">C. </w:t>
      </w:r>
      <w:r w:rsidR="0050181B">
        <w:t>Remember that the dilute primers should not be used for too long. A fresh batch should be made every once in a while.</w:t>
      </w:r>
    </w:p>
    <w:p w14:paraId="1FC6705B" w14:textId="77777777" w:rsidR="00D17457" w:rsidRDefault="00D17457" w:rsidP="000C08D8">
      <w:pPr>
        <w:jc w:val="both"/>
      </w:pPr>
    </w:p>
    <w:p w14:paraId="1AD1288E" w14:textId="77777777" w:rsidR="00D17457" w:rsidRDefault="00D17457" w:rsidP="000C08D8">
      <w:pPr>
        <w:pStyle w:val="ListParagraph"/>
        <w:numPr>
          <w:ilvl w:val="0"/>
          <w:numId w:val="5"/>
        </w:numPr>
        <w:jc w:val="both"/>
        <w:rPr>
          <w:b/>
          <w:i/>
        </w:rPr>
      </w:pPr>
      <w:r w:rsidRPr="000C50EB">
        <w:rPr>
          <w:b/>
          <w:i/>
        </w:rPr>
        <w:t>PCR parameters</w:t>
      </w:r>
    </w:p>
    <w:p w14:paraId="32769AC3" w14:textId="0DB798C8" w:rsidR="00521CBF" w:rsidRDefault="00521CBF" w:rsidP="000C08D8">
      <w:pPr>
        <w:ind w:left="360"/>
        <w:jc w:val="both"/>
      </w:pPr>
      <w:proofErr w:type="spellStart"/>
      <w:r w:rsidRPr="00521CBF">
        <w:t>Amplicon</w:t>
      </w:r>
      <w:proofErr w:type="spellEnd"/>
      <w:r w:rsidRPr="00521CBF">
        <w:t xml:space="preserve"> PCR is full of biases</w:t>
      </w:r>
      <w:r>
        <w:t xml:space="preserve"> so we </w:t>
      </w:r>
      <w:r w:rsidR="000C08D8">
        <w:t>have considered</w:t>
      </w:r>
      <w:r>
        <w:t xml:space="preserve"> </w:t>
      </w:r>
      <w:r w:rsidR="000C08D8">
        <w:t>a range of ways</w:t>
      </w:r>
      <w:r>
        <w:t xml:space="preserve"> to m</w:t>
      </w:r>
      <w:r w:rsidR="000C08D8">
        <w:t>inimize</w:t>
      </w:r>
      <w:r>
        <w:t xml:space="preserve"> these biases. </w:t>
      </w:r>
      <w:r w:rsidR="000C08D8">
        <w:t xml:space="preserve">Smith &amp; </w:t>
      </w:r>
      <w:proofErr w:type="spellStart"/>
      <w:r w:rsidR="000C08D8">
        <w:t>Peay</w:t>
      </w:r>
      <w:proofErr w:type="spellEnd"/>
      <w:r w:rsidR="000C08D8">
        <w:t xml:space="preserve"> (2014) suggest</w:t>
      </w:r>
      <w:r w:rsidR="00CC48E0">
        <w:t>ed that</w:t>
      </w:r>
      <w:r w:rsidR="000C08D8">
        <w:t xml:space="preserve"> single </w:t>
      </w:r>
      <w:r w:rsidR="00CC48E0">
        <w:t xml:space="preserve">amplification using a low annealing temperature </w:t>
      </w:r>
      <w:r w:rsidR="000C08D8">
        <w:t>versus pooled samples have very similar richness, evenness values</w:t>
      </w:r>
      <w:r w:rsidR="00751F3B">
        <w:t xml:space="preserve">. </w:t>
      </w:r>
      <w:r w:rsidR="00CC48E0">
        <w:t>Based on these results and our own studies, we recommend using a low annealing temperature for a single PCR per sample.</w:t>
      </w:r>
      <w:r w:rsidR="00751F3B">
        <w:t xml:space="preserve"> You will also notice that we’re running a lower number of cycles (30 vs. 35). With more cycles, there is a higher chance of amplifying contaminants.</w:t>
      </w:r>
    </w:p>
    <w:p w14:paraId="5295B602" w14:textId="77777777" w:rsidR="00751F3B" w:rsidRDefault="00751F3B" w:rsidP="000C08D8">
      <w:pPr>
        <w:ind w:left="360"/>
        <w:jc w:val="both"/>
      </w:pPr>
    </w:p>
    <w:p w14:paraId="04178DE5" w14:textId="7B7FFC1E" w:rsidR="00751F3B" w:rsidRDefault="00751F3B" w:rsidP="000C08D8">
      <w:pPr>
        <w:ind w:left="360"/>
        <w:jc w:val="both"/>
      </w:pPr>
      <w:r>
        <w:t xml:space="preserve">At least two extra </w:t>
      </w:r>
      <w:r w:rsidR="00CC48E0">
        <w:t xml:space="preserve">control </w:t>
      </w:r>
      <w:r>
        <w:t xml:space="preserve">samples should be included with your library. One sample is the mock community of fungi </w:t>
      </w:r>
      <w:r w:rsidR="00CC48E0">
        <w:t xml:space="preserve">(positive control) </w:t>
      </w:r>
      <w:r>
        <w:t xml:space="preserve">and the other is the </w:t>
      </w:r>
      <w:r w:rsidR="000C08D8">
        <w:t xml:space="preserve">PCR </w:t>
      </w:r>
      <w:r>
        <w:t>control</w:t>
      </w:r>
      <w:r w:rsidR="00CC48E0">
        <w:t xml:space="preserve"> (negative control). I</w:t>
      </w:r>
      <w:r w:rsidR="000C08D8">
        <w:t>deally some negative controls at the extraction stage can also be included</w:t>
      </w:r>
      <w:r w:rsidR="00CC48E0">
        <w:t xml:space="preserve"> –</w:t>
      </w:r>
      <w:r w:rsidR="000C08D8">
        <w:t xml:space="preserve"> see</w:t>
      </w:r>
      <w:r w:rsidR="00CC48E0">
        <w:t xml:space="preserve"> </w:t>
      </w:r>
      <w:hyperlink r:id="rId12" w:history="1">
        <w:r w:rsidR="00CC48E0" w:rsidRPr="00365DE8">
          <w:rPr>
            <w:rStyle w:val="Hyperlink"/>
          </w:rPr>
          <w:t>Nguyen et al. 2015</w:t>
        </w:r>
      </w:hyperlink>
      <w:r w:rsidR="00A73326">
        <w:t xml:space="preserve"> for a more in-depth discussion on mock communities.</w:t>
      </w:r>
    </w:p>
    <w:p w14:paraId="42D9B5C0" w14:textId="77777777" w:rsidR="00751F3B" w:rsidRDefault="00751F3B" w:rsidP="000C08D8">
      <w:pPr>
        <w:ind w:left="360"/>
        <w:jc w:val="both"/>
      </w:pPr>
    </w:p>
    <w:p w14:paraId="561B7490" w14:textId="50A8D546" w:rsidR="00D80C46" w:rsidRDefault="00751F3B" w:rsidP="000C08D8">
      <w:pPr>
        <w:ind w:left="360"/>
        <w:jc w:val="both"/>
      </w:pPr>
      <w:r>
        <w:t>The mock community serves as an anchoring point in which we know the identity of all fungi that have been put into them. This allows us to assess</w:t>
      </w:r>
      <w:r w:rsidR="00CC48E0">
        <w:t xml:space="preserve"> and normalize </w:t>
      </w:r>
      <w:r w:rsidR="007E3D35">
        <w:t>run-to-run</w:t>
      </w:r>
      <w:r w:rsidR="00CC48E0">
        <w:t xml:space="preserve"> variations from </w:t>
      </w:r>
      <w:r>
        <w:t>each library and determine the best clustering value for OTU determination. The mock community is built modula</w:t>
      </w:r>
      <w:r w:rsidR="00D80C46">
        <w:t xml:space="preserve">rly, so species could be added or removed depending on the version. The Kennedy Lab keeps track of these versions and </w:t>
      </w:r>
      <w:proofErr w:type="gramStart"/>
      <w:r w:rsidR="00D80C46">
        <w:t>improve</w:t>
      </w:r>
      <w:proofErr w:type="gramEnd"/>
      <w:r w:rsidR="00D80C46">
        <w:t xml:space="preserve"> each as necessary.</w:t>
      </w:r>
    </w:p>
    <w:p w14:paraId="02C9896D" w14:textId="77777777" w:rsidR="00D80C46" w:rsidRDefault="00D80C46" w:rsidP="000C08D8">
      <w:pPr>
        <w:ind w:left="360"/>
        <w:jc w:val="both"/>
      </w:pPr>
    </w:p>
    <w:p w14:paraId="54745E7D" w14:textId="111A10DC" w:rsidR="00751F3B" w:rsidRPr="00521CBF" w:rsidRDefault="00D80C46" w:rsidP="000C08D8">
      <w:pPr>
        <w:ind w:left="360"/>
        <w:jc w:val="both"/>
      </w:pPr>
      <w:r>
        <w:t xml:space="preserve">The negative control sample allows us to determine which OTUs contaminated our samples and they could be </w:t>
      </w:r>
      <w:r w:rsidR="007E3D35">
        <w:t xml:space="preserve">dealt with </w:t>
      </w:r>
      <w:r>
        <w:t xml:space="preserve">prior to </w:t>
      </w:r>
      <w:r w:rsidR="007E3D35">
        <w:t xml:space="preserve">statistical </w:t>
      </w:r>
      <w:r>
        <w:t>analys</w:t>
      </w:r>
      <w:r w:rsidR="007E3D35">
        <w:t>e</w:t>
      </w:r>
      <w:r>
        <w:t>s. Each PCR reaction you run should include a negative control.</w:t>
      </w:r>
      <w:r w:rsidR="00751F3B">
        <w:t xml:space="preserve"> </w:t>
      </w:r>
    </w:p>
    <w:p w14:paraId="1E0EAD27" w14:textId="77777777" w:rsidR="00521CBF" w:rsidRDefault="00521CBF" w:rsidP="000C08D8">
      <w:pPr>
        <w:ind w:left="360"/>
        <w:jc w:val="both"/>
        <w:rPr>
          <w:b/>
        </w:rPr>
      </w:pPr>
    </w:p>
    <w:p w14:paraId="53DC9DCD" w14:textId="5E8B5E3A" w:rsidR="00D17457" w:rsidRPr="00D80C46" w:rsidRDefault="00D80C46" w:rsidP="000C08D8">
      <w:pPr>
        <w:ind w:left="360" w:firstLine="360"/>
        <w:jc w:val="both"/>
        <w:rPr>
          <w:u w:val="single"/>
        </w:rPr>
      </w:pPr>
      <w:r w:rsidRPr="00D80C46">
        <w:rPr>
          <w:u w:val="single"/>
        </w:rPr>
        <w:t xml:space="preserve">PCR </w:t>
      </w:r>
      <w:r w:rsidR="00521CBF" w:rsidRPr="00D80C46">
        <w:rPr>
          <w:u w:val="single"/>
        </w:rPr>
        <w:t xml:space="preserve">for a </w:t>
      </w:r>
      <w:proofErr w:type="gramStart"/>
      <w:r w:rsidR="00521CBF" w:rsidRPr="00D80C46">
        <w:rPr>
          <w:u w:val="single"/>
        </w:rPr>
        <w:t xml:space="preserve">20 </w:t>
      </w:r>
      <w:proofErr w:type="spellStart"/>
      <w:r w:rsidR="00521CBF" w:rsidRPr="00D80C46">
        <w:rPr>
          <w:rFonts w:ascii="Cambria" w:hAnsi="Cambria"/>
          <w:u w:val="single"/>
        </w:rPr>
        <w:t>μ</w:t>
      </w:r>
      <w:r w:rsidR="00521CBF" w:rsidRPr="00D80C46">
        <w:rPr>
          <w:u w:val="single"/>
        </w:rPr>
        <w:t>l</w:t>
      </w:r>
      <w:proofErr w:type="spellEnd"/>
      <w:proofErr w:type="gramEnd"/>
      <w:r w:rsidR="00521CBF" w:rsidRPr="00D80C46">
        <w:rPr>
          <w:u w:val="single"/>
        </w:rPr>
        <w:t xml:space="preserve"> reaction</w:t>
      </w:r>
      <w:r w:rsidRPr="00D80C46">
        <w:rPr>
          <w:u w:val="single"/>
        </w:rPr>
        <w:t>:</w:t>
      </w:r>
    </w:p>
    <w:p w14:paraId="1EA447A7" w14:textId="4E690B57" w:rsidR="00521CBF" w:rsidRDefault="00521CBF" w:rsidP="000C08D8">
      <w:pPr>
        <w:ind w:left="720"/>
        <w:jc w:val="both"/>
      </w:pPr>
      <w:proofErr w:type="gramStart"/>
      <w:r>
        <w:t>ddH2O</w:t>
      </w:r>
      <w:proofErr w:type="gramEnd"/>
      <w:r>
        <w:tab/>
      </w:r>
      <w:r>
        <w:tab/>
      </w:r>
      <w:r>
        <w:tab/>
      </w:r>
      <w:r>
        <w:tab/>
        <w:t xml:space="preserve">11.8 </w:t>
      </w:r>
      <w:proofErr w:type="spellStart"/>
      <w:r>
        <w:rPr>
          <w:rFonts w:ascii="Cambria" w:hAnsi="Cambria"/>
        </w:rPr>
        <w:t>μl</w:t>
      </w:r>
      <w:proofErr w:type="spellEnd"/>
    </w:p>
    <w:p w14:paraId="1F5DA6B7" w14:textId="4D981FB3" w:rsidR="00521CBF" w:rsidRDefault="00521CBF" w:rsidP="000C08D8">
      <w:pPr>
        <w:ind w:left="720"/>
        <w:jc w:val="both"/>
      </w:pPr>
      <w:r>
        <w:t>10X Buffer w/MgCl</w:t>
      </w:r>
      <w:r w:rsidRPr="007E3D35">
        <w:rPr>
          <w:vertAlign w:val="subscript"/>
        </w:rPr>
        <w:t>2</w:t>
      </w:r>
      <w:r>
        <w:tab/>
      </w:r>
      <w:r>
        <w:tab/>
      </w:r>
      <w:r>
        <w:tab/>
        <w:t>2</w:t>
      </w:r>
      <w:r w:rsidR="005865B3">
        <w:t>.0</w:t>
      </w:r>
      <w:r>
        <w:t xml:space="preserve"> </w:t>
      </w:r>
      <w:proofErr w:type="spellStart"/>
      <w:r>
        <w:rPr>
          <w:rFonts w:ascii="Cambria" w:hAnsi="Cambria"/>
        </w:rPr>
        <w:t>μl</w:t>
      </w:r>
      <w:proofErr w:type="spellEnd"/>
    </w:p>
    <w:p w14:paraId="66D1742C" w14:textId="4886B2BE" w:rsidR="00521CBF" w:rsidRDefault="00521CBF" w:rsidP="000C08D8">
      <w:pPr>
        <w:ind w:left="720"/>
        <w:jc w:val="both"/>
      </w:pPr>
      <w:r>
        <w:t xml:space="preserve">10X </w:t>
      </w:r>
      <w:proofErr w:type="spellStart"/>
      <w:r>
        <w:t>dNTP</w:t>
      </w:r>
      <w:proofErr w:type="spellEnd"/>
      <w:r>
        <w:t xml:space="preserve"> mix</w:t>
      </w:r>
      <w:r>
        <w:tab/>
      </w:r>
      <w:r>
        <w:tab/>
      </w:r>
      <w:r>
        <w:tab/>
        <w:t>2</w:t>
      </w:r>
      <w:r w:rsidR="005865B3">
        <w:t>.0</w:t>
      </w:r>
      <w:r>
        <w:t xml:space="preserve"> </w:t>
      </w:r>
      <w:proofErr w:type="spellStart"/>
      <w:r>
        <w:rPr>
          <w:rFonts w:ascii="Cambria" w:hAnsi="Cambria"/>
        </w:rPr>
        <w:t>μl</w:t>
      </w:r>
      <w:proofErr w:type="spellEnd"/>
    </w:p>
    <w:p w14:paraId="0C62B6F2" w14:textId="78363CDE" w:rsidR="00521CBF" w:rsidRDefault="00521CBF" w:rsidP="000C08D8">
      <w:pPr>
        <w:ind w:left="720"/>
        <w:jc w:val="both"/>
      </w:pPr>
      <w:r>
        <w:t>MgCl</w:t>
      </w:r>
      <w:r w:rsidRPr="00521CBF">
        <w:rPr>
          <w:vertAlign w:val="subscript"/>
        </w:rPr>
        <w:t>2</w:t>
      </w:r>
      <w:r>
        <w:t xml:space="preserve"> (50mM)</w:t>
      </w:r>
      <w:r>
        <w:tab/>
      </w:r>
      <w:r>
        <w:tab/>
      </w:r>
      <w:r>
        <w:tab/>
        <w:t xml:space="preserve">0.64 </w:t>
      </w:r>
      <w:proofErr w:type="spellStart"/>
      <w:r>
        <w:rPr>
          <w:rFonts w:ascii="Cambria" w:hAnsi="Cambria"/>
        </w:rPr>
        <w:t>μl</w:t>
      </w:r>
      <w:proofErr w:type="spellEnd"/>
    </w:p>
    <w:p w14:paraId="4211182A" w14:textId="53CA0D67" w:rsidR="00521CBF" w:rsidRDefault="00521CBF" w:rsidP="000C08D8">
      <w:pPr>
        <w:ind w:left="720"/>
        <w:jc w:val="both"/>
      </w:pPr>
      <w:r>
        <w:t>Forward primer (10</w:t>
      </w:r>
      <w:r>
        <w:rPr>
          <w:rFonts w:ascii="Cambria" w:hAnsi="Cambria"/>
        </w:rPr>
        <w:t>μ</w:t>
      </w:r>
      <w:r>
        <w:t>M)</w:t>
      </w:r>
      <w:r>
        <w:tab/>
      </w:r>
      <w:r>
        <w:tab/>
        <w:t xml:space="preserve">0.35 </w:t>
      </w:r>
      <w:proofErr w:type="spellStart"/>
      <w:r>
        <w:rPr>
          <w:rFonts w:ascii="Cambria" w:hAnsi="Cambria"/>
        </w:rPr>
        <w:t>μl</w:t>
      </w:r>
      <w:proofErr w:type="spellEnd"/>
    </w:p>
    <w:p w14:paraId="24D8CA38" w14:textId="097112E5" w:rsidR="00521CBF" w:rsidRDefault="00521CBF" w:rsidP="000C08D8">
      <w:pPr>
        <w:ind w:left="720"/>
        <w:jc w:val="both"/>
      </w:pPr>
      <w:r>
        <w:t>Reverse primer (10</w:t>
      </w:r>
      <w:r>
        <w:rPr>
          <w:rFonts w:ascii="Cambria" w:hAnsi="Cambria"/>
        </w:rPr>
        <w:t>μ</w:t>
      </w:r>
      <w:r>
        <w:t>M)</w:t>
      </w:r>
      <w:r>
        <w:tab/>
      </w:r>
      <w:r>
        <w:tab/>
        <w:t xml:space="preserve">0.35 </w:t>
      </w:r>
      <w:proofErr w:type="spellStart"/>
      <w:r>
        <w:rPr>
          <w:rFonts w:ascii="Cambria" w:hAnsi="Cambria"/>
        </w:rPr>
        <w:t>μl</w:t>
      </w:r>
      <w:proofErr w:type="spellEnd"/>
    </w:p>
    <w:p w14:paraId="2BD27A58" w14:textId="51EE92F0" w:rsidR="00521CBF" w:rsidRDefault="00521CBF" w:rsidP="000C08D8">
      <w:pPr>
        <w:ind w:left="720"/>
        <w:jc w:val="both"/>
      </w:pPr>
      <w:proofErr w:type="spellStart"/>
      <w:r>
        <w:t>HotStarTaq</w:t>
      </w:r>
      <w:proofErr w:type="spellEnd"/>
      <w:r>
        <w:t xml:space="preserve"> polymerase (5U/ml)</w:t>
      </w:r>
      <w:r>
        <w:tab/>
        <w:t xml:space="preserve">0.16 </w:t>
      </w:r>
      <w:proofErr w:type="spellStart"/>
      <w:r>
        <w:rPr>
          <w:rFonts w:ascii="Cambria" w:hAnsi="Cambria"/>
        </w:rPr>
        <w:t>μl</w:t>
      </w:r>
      <w:proofErr w:type="spellEnd"/>
    </w:p>
    <w:p w14:paraId="3913B2A4" w14:textId="077D40FC" w:rsidR="00D80C46" w:rsidRDefault="00521CBF" w:rsidP="000C08D8">
      <w:pPr>
        <w:ind w:left="720"/>
        <w:jc w:val="both"/>
      </w:pPr>
      <w:r>
        <w:t>Template (25ng)</w:t>
      </w:r>
      <w:r>
        <w:tab/>
      </w:r>
      <w:r>
        <w:tab/>
      </w:r>
      <w:r>
        <w:tab/>
        <w:t>2</w:t>
      </w:r>
      <w:r w:rsidR="005865B3">
        <w:t>.0</w:t>
      </w:r>
      <w:r>
        <w:t xml:space="preserve"> </w:t>
      </w:r>
      <w:proofErr w:type="spellStart"/>
      <w:r>
        <w:rPr>
          <w:rFonts w:ascii="Cambria" w:hAnsi="Cambria"/>
        </w:rPr>
        <w:t>μl</w:t>
      </w:r>
      <w:proofErr w:type="spellEnd"/>
    </w:p>
    <w:p w14:paraId="71052391" w14:textId="77777777" w:rsidR="00D80C46" w:rsidRDefault="00D80C46" w:rsidP="000C08D8">
      <w:pPr>
        <w:ind w:left="720"/>
        <w:jc w:val="both"/>
      </w:pPr>
    </w:p>
    <w:p w14:paraId="489AB0F5" w14:textId="71839047" w:rsidR="00521CBF" w:rsidRPr="00D80C46" w:rsidRDefault="00521CBF" w:rsidP="000C08D8">
      <w:pPr>
        <w:ind w:left="720"/>
        <w:jc w:val="both"/>
        <w:rPr>
          <w:u w:val="single"/>
        </w:rPr>
      </w:pPr>
      <w:r w:rsidRPr="00D80C46">
        <w:rPr>
          <w:u w:val="single"/>
        </w:rPr>
        <w:t>PCR cycle:</w:t>
      </w:r>
    </w:p>
    <w:p w14:paraId="2F1B377A" w14:textId="41127F65" w:rsidR="00521CBF" w:rsidRDefault="00521CBF" w:rsidP="000C08D8">
      <w:pPr>
        <w:ind w:left="720"/>
        <w:jc w:val="both"/>
      </w:pPr>
      <w:proofErr w:type="gramStart"/>
      <w:r>
        <w:t>1)  95</w:t>
      </w:r>
      <w:proofErr w:type="gramEnd"/>
      <w:r>
        <w:t xml:space="preserve"> </w:t>
      </w:r>
      <w:r>
        <w:rPr>
          <w:rFonts w:ascii="Cambria" w:hAnsi="Cambria"/>
        </w:rPr>
        <w:t>°</w:t>
      </w:r>
      <w:r>
        <w:t>C, 10 min</w:t>
      </w:r>
    </w:p>
    <w:p w14:paraId="422C216E" w14:textId="7DAE2453" w:rsidR="00521CBF" w:rsidRDefault="00521CBF" w:rsidP="000C08D8">
      <w:pPr>
        <w:ind w:left="720"/>
        <w:jc w:val="both"/>
      </w:pPr>
      <w:proofErr w:type="gramStart"/>
      <w:r>
        <w:t>2)  95</w:t>
      </w:r>
      <w:proofErr w:type="gramEnd"/>
      <w:r>
        <w:t xml:space="preserve"> </w:t>
      </w:r>
      <w:r>
        <w:rPr>
          <w:rFonts w:ascii="Cambria" w:hAnsi="Cambria"/>
        </w:rPr>
        <w:t>°</w:t>
      </w:r>
      <w:r>
        <w:t xml:space="preserve">C, 30s                       </w:t>
      </w:r>
    </w:p>
    <w:p w14:paraId="320B5832" w14:textId="1B452364" w:rsidR="00521CBF" w:rsidRDefault="00521CBF" w:rsidP="000C08D8">
      <w:pPr>
        <w:ind w:left="720"/>
        <w:jc w:val="both"/>
      </w:pPr>
      <w:proofErr w:type="gramStart"/>
      <w:r>
        <w:t xml:space="preserve">3)  </w:t>
      </w:r>
      <w:r w:rsidR="00640BBD">
        <w:t>52</w:t>
      </w:r>
      <w:proofErr w:type="gramEnd"/>
      <w:r w:rsidR="00640BBD">
        <w:t xml:space="preserve"> </w:t>
      </w:r>
      <w:r>
        <w:rPr>
          <w:rFonts w:ascii="Cambria" w:hAnsi="Cambria"/>
        </w:rPr>
        <w:t>°</w:t>
      </w:r>
      <w:r>
        <w:t xml:space="preserve">C, 20s                   </w:t>
      </w:r>
    </w:p>
    <w:p w14:paraId="041DC287" w14:textId="50E52FCF" w:rsidR="00521CBF" w:rsidRDefault="00521CBF" w:rsidP="000C08D8">
      <w:pPr>
        <w:ind w:left="720"/>
        <w:jc w:val="both"/>
      </w:pPr>
      <w:proofErr w:type="gramStart"/>
      <w:r>
        <w:t>4)  72</w:t>
      </w:r>
      <w:proofErr w:type="gramEnd"/>
      <w:r>
        <w:t xml:space="preserve"> </w:t>
      </w:r>
      <w:r>
        <w:rPr>
          <w:rFonts w:ascii="Cambria" w:hAnsi="Cambria"/>
        </w:rPr>
        <w:t>°</w:t>
      </w:r>
      <w:r>
        <w:t>C, 30s</w:t>
      </w:r>
    </w:p>
    <w:p w14:paraId="04BC618E" w14:textId="33D2B3B4" w:rsidR="00521CBF" w:rsidRDefault="00521CBF" w:rsidP="000C08D8">
      <w:pPr>
        <w:ind w:left="720"/>
        <w:jc w:val="both"/>
      </w:pPr>
      <w:proofErr w:type="gramStart"/>
      <w:r>
        <w:t>5)  go</w:t>
      </w:r>
      <w:proofErr w:type="gramEnd"/>
      <w:r>
        <w:t xml:space="preserve"> to step 2 (29x)</w:t>
      </w:r>
    </w:p>
    <w:p w14:paraId="4DFB0814" w14:textId="0367E5FB" w:rsidR="00521CBF" w:rsidRDefault="00521CBF" w:rsidP="000C08D8">
      <w:pPr>
        <w:ind w:left="720"/>
        <w:jc w:val="both"/>
      </w:pPr>
      <w:proofErr w:type="gramStart"/>
      <w:r>
        <w:t>6)  72</w:t>
      </w:r>
      <w:proofErr w:type="gramEnd"/>
      <w:r>
        <w:t xml:space="preserve"> </w:t>
      </w:r>
      <w:r>
        <w:rPr>
          <w:rFonts w:ascii="Cambria" w:hAnsi="Cambria"/>
        </w:rPr>
        <w:t>°</w:t>
      </w:r>
      <w:r>
        <w:t>C, 8 min</w:t>
      </w:r>
    </w:p>
    <w:p w14:paraId="68F70306" w14:textId="7F8C5526" w:rsidR="00521CBF" w:rsidRDefault="00521CBF" w:rsidP="000C08D8">
      <w:pPr>
        <w:ind w:left="720"/>
        <w:jc w:val="both"/>
      </w:pPr>
      <w:proofErr w:type="gramStart"/>
      <w:r>
        <w:t>7)  12</w:t>
      </w:r>
      <w:proofErr w:type="gramEnd"/>
      <w:r>
        <w:t xml:space="preserve"> </w:t>
      </w:r>
      <w:r>
        <w:rPr>
          <w:rFonts w:ascii="Cambria" w:hAnsi="Cambria"/>
        </w:rPr>
        <w:t>°</w:t>
      </w:r>
      <w:r>
        <w:t>C, forever</w:t>
      </w:r>
    </w:p>
    <w:p w14:paraId="5279E9ED" w14:textId="77777777" w:rsidR="00521CBF" w:rsidRDefault="00521CBF" w:rsidP="000C08D8">
      <w:pPr>
        <w:jc w:val="both"/>
      </w:pPr>
    </w:p>
    <w:p w14:paraId="3E620CE6" w14:textId="77777777" w:rsidR="00751F3B" w:rsidRDefault="00751F3B" w:rsidP="000C08D8">
      <w:pPr>
        <w:jc w:val="both"/>
      </w:pPr>
    </w:p>
    <w:p w14:paraId="519EA055" w14:textId="77777777" w:rsidR="00D17457" w:rsidRPr="000C50EB" w:rsidRDefault="00D17457" w:rsidP="000C08D8">
      <w:pPr>
        <w:pStyle w:val="ListParagraph"/>
        <w:numPr>
          <w:ilvl w:val="0"/>
          <w:numId w:val="5"/>
        </w:numPr>
        <w:jc w:val="both"/>
        <w:rPr>
          <w:b/>
          <w:i/>
        </w:rPr>
      </w:pPr>
      <w:r w:rsidRPr="000C50EB">
        <w:rPr>
          <w:b/>
          <w:i/>
        </w:rPr>
        <w:t xml:space="preserve">PCR </w:t>
      </w:r>
      <w:proofErr w:type="spellStart"/>
      <w:r w:rsidRPr="000C50EB">
        <w:rPr>
          <w:b/>
          <w:i/>
        </w:rPr>
        <w:t>clean-up</w:t>
      </w:r>
      <w:proofErr w:type="spellEnd"/>
    </w:p>
    <w:p w14:paraId="4D79B512" w14:textId="5CEBAEC5" w:rsidR="00D17457" w:rsidRDefault="000C50EB" w:rsidP="000C08D8">
      <w:pPr>
        <w:ind w:left="360"/>
        <w:jc w:val="both"/>
      </w:pPr>
      <w:r>
        <w:t>Once you have determined that your PCRs are g</w:t>
      </w:r>
      <w:r w:rsidR="00B51C99">
        <w:t>oo</w:t>
      </w:r>
      <w:r w:rsidR="007E3D35">
        <w:t xml:space="preserve">d through gel electrophoresis, the next step is to clean them up. </w:t>
      </w:r>
      <w:r w:rsidR="00B51C99">
        <w:t xml:space="preserve">If you have run replicate PCRS of each sample, combine those </w:t>
      </w:r>
      <w:r>
        <w:t>replicates into one.</w:t>
      </w:r>
    </w:p>
    <w:p w14:paraId="1E57191D" w14:textId="77777777" w:rsidR="000C50EB" w:rsidRDefault="000C50EB" w:rsidP="000C08D8">
      <w:pPr>
        <w:ind w:left="360"/>
        <w:jc w:val="both"/>
      </w:pPr>
    </w:p>
    <w:p w14:paraId="2D335052" w14:textId="2CB6CF3C" w:rsidR="00D80C46" w:rsidRDefault="000C50EB" w:rsidP="000C08D8">
      <w:pPr>
        <w:ind w:left="360"/>
        <w:jc w:val="both"/>
      </w:pPr>
      <w:r>
        <w:t>PCRs may be cleaned up using any preferred method, but one of the quickest method</w:t>
      </w:r>
      <w:r w:rsidR="00B51C99">
        <w:t>s</w:t>
      </w:r>
      <w:r>
        <w:t xml:space="preserve"> is usin</w:t>
      </w:r>
      <w:r w:rsidR="00D80C46">
        <w:t>g magnetic beads</w:t>
      </w:r>
      <w:r w:rsidR="00B51C99">
        <w:t>,</w:t>
      </w:r>
      <w:r w:rsidR="00D80C46">
        <w:t xml:space="preserve"> such as the </w:t>
      </w:r>
      <w:proofErr w:type="spellStart"/>
      <w:r w:rsidR="00D80C46">
        <w:t>AMP</w:t>
      </w:r>
      <w:r>
        <w:t>ure</w:t>
      </w:r>
      <w:proofErr w:type="spellEnd"/>
      <w:r>
        <w:t xml:space="preserve"> </w:t>
      </w:r>
      <w:r w:rsidR="00D80C46">
        <w:t xml:space="preserve">XP </w:t>
      </w:r>
      <w:r>
        <w:t xml:space="preserve">beads from </w:t>
      </w:r>
      <w:r w:rsidR="00D80C46">
        <w:t>Beckman Coulter</w:t>
      </w:r>
      <w:r>
        <w:t xml:space="preserve">. </w:t>
      </w:r>
      <w:r w:rsidR="00D80C46">
        <w:t xml:space="preserve">The magnetic beads work with any magnetic stand, but one of the easier ones to use is </w:t>
      </w:r>
      <w:proofErr w:type="gramStart"/>
      <w:r w:rsidR="00D80C46">
        <w:t xml:space="preserve">the two strip-tube </w:t>
      </w:r>
      <w:proofErr w:type="spellStart"/>
      <w:r w:rsidR="00D80C46">
        <w:t>DynaMag</w:t>
      </w:r>
      <w:proofErr w:type="spellEnd"/>
      <w:r w:rsidR="00D80C46">
        <w:t xml:space="preserve"> - PCR stand from Invitrogen/Life Technologies</w:t>
      </w:r>
      <w:proofErr w:type="gramEnd"/>
      <w:r w:rsidR="00D80C46">
        <w:t xml:space="preserve"> (part no. 49-2015). This stand allows you to clean 16 PCR reactions at a time, and you can actually see what’s going on in the tube vs. the plate magnetic stands.</w:t>
      </w:r>
    </w:p>
    <w:p w14:paraId="249D2146" w14:textId="49231EBC" w:rsidR="00D80C46" w:rsidRDefault="00D80C46" w:rsidP="000C08D8">
      <w:pPr>
        <w:ind w:left="360"/>
        <w:jc w:val="both"/>
      </w:pPr>
    </w:p>
    <w:p w14:paraId="799F7EE4" w14:textId="3B221ED7" w:rsidR="000C50EB" w:rsidRDefault="007E3D35" w:rsidP="000C08D8">
      <w:pPr>
        <w:ind w:left="360"/>
        <w:jc w:val="both"/>
      </w:pPr>
      <w:r>
        <w:t>For good and strong bands on the gel, purify 10</w:t>
      </w:r>
      <w:r w:rsidR="00691DCA">
        <w:t xml:space="preserve"> </w:t>
      </w:r>
      <w:proofErr w:type="spellStart"/>
      <w:r w:rsidR="00691DCA">
        <w:rPr>
          <w:rFonts w:ascii="Cambria" w:hAnsi="Cambria"/>
        </w:rPr>
        <w:t>μl</w:t>
      </w:r>
      <w:proofErr w:type="spellEnd"/>
      <w:r w:rsidR="000C50EB">
        <w:t>. For weaker reactions, you may need a little bit more.</w:t>
      </w:r>
      <w:r w:rsidR="00D80C46">
        <w:t xml:space="preserve"> </w:t>
      </w:r>
      <w:r w:rsidR="00691DCA">
        <w:t>For the negative control</w:t>
      </w:r>
      <w:r>
        <w:t xml:space="preserve">s, combine them all into a single sample, </w:t>
      </w:r>
      <w:proofErr w:type="gramStart"/>
      <w:r>
        <w:t>then</w:t>
      </w:r>
      <w:proofErr w:type="gramEnd"/>
      <w:r>
        <w:t xml:space="preserve"> clean 30 </w:t>
      </w:r>
      <w:proofErr w:type="spellStart"/>
      <w:r>
        <w:rPr>
          <w:rFonts w:ascii="Cambria" w:hAnsi="Cambria"/>
        </w:rPr>
        <w:t>μ</w:t>
      </w:r>
      <w:r>
        <w:t>l</w:t>
      </w:r>
      <w:proofErr w:type="spellEnd"/>
      <w:r>
        <w:t xml:space="preserve">. </w:t>
      </w:r>
      <w:r w:rsidR="000C50EB">
        <w:t>Follow t</w:t>
      </w:r>
      <w:r w:rsidR="00D80C46">
        <w:t>he manufacturer’s instructions.</w:t>
      </w:r>
      <w:r w:rsidR="00691DCA">
        <w:t xml:space="preserve"> </w:t>
      </w:r>
      <w:proofErr w:type="spellStart"/>
      <w:r w:rsidR="000C50EB">
        <w:t>Resuspend</w:t>
      </w:r>
      <w:proofErr w:type="spellEnd"/>
      <w:r w:rsidR="000C50EB">
        <w:t xml:space="preserve"> your PCR product in </w:t>
      </w:r>
      <w:r w:rsidR="002C2F4E">
        <w:t xml:space="preserve">35 </w:t>
      </w:r>
      <w:proofErr w:type="spellStart"/>
      <w:r w:rsidR="002C2F4E">
        <w:rPr>
          <w:rFonts w:ascii="Cambria" w:hAnsi="Cambria"/>
        </w:rPr>
        <w:t>μl</w:t>
      </w:r>
      <w:proofErr w:type="spellEnd"/>
      <w:r w:rsidR="002C2F4E">
        <w:t xml:space="preserve"> PCR quality water, but pipe out only 30 </w:t>
      </w:r>
      <w:proofErr w:type="spellStart"/>
      <w:r w:rsidR="002C2F4E">
        <w:rPr>
          <w:rFonts w:ascii="Cambria" w:hAnsi="Cambria"/>
        </w:rPr>
        <w:t>μ</w:t>
      </w:r>
      <w:r w:rsidR="002C2F4E">
        <w:t>l</w:t>
      </w:r>
      <w:proofErr w:type="spellEnd"/>
      <w:r w:rsidR="002C2F4E">
        <w:t>, leaving the extra 5</w:t>
      </w:r>
      <w:r>
        <w:t xml:space="preserve"> </w:t>
      </w:r>
      <w:proofErr w:type="spellStart"/>
      <w:r>
        <w:rPr>
          <w:rFonts w:ascii="Cambria" w:hAnsi="Cambria"/>
        </w:rPr>
        <w:t>μ</w:t>
      </w:r>
      <w:r w:rsidR="002C2F4E">
        <w:t>l</w:t>
      </w:r>
      <w:proofErr w:type="spellEnd"/>
      <w:r w:rsidR="002C2F4E">
        <w:t xml:space="preserve"> at the bottom of the tube that is often mixed with magnetic beads.</w:t>
      </w:r>
    </w:p>
    <w:p w14:paraId="2E1312C7" w14:textId="77777777" w:rsidR="000C50EB" w:rsidRDefault="000C50EB" w:rsidP="000C08D8">
      <w:pPr>
        <w:ind w:left="360"/>
        <w:jc w:val="both"/>
      </w:pPr>
    </w:p>
    <w:p w14:paraId="7BA5E751" w14:textId="5E2EC223" w:rsidR="000C50EB" w:rsidRDefault="000C50EB" w:rsidP="000C08D8">
      <w:pPr>
        <w:ind w:left="360"/>
        <w:jc w:val="both"/>
      </w:pPr>
      <w:r>
        <w:t xml:space="preserve">Quantify the amount of </w:t>
      </w:r>
      <w:r w:rsidR="00691DCA">
        <w:t>each cleaned sample</w:t>
      </w:r>
      <w:r>
        <w:t xml:space="preserve"> you have by using a </w:t>
      </w:r>
      <w:proofErr w:type="spellStart"/>
      <w:r>
        <w:t>Qubit</w:t>
      </w:r>
      <w:proofErr w:type="spellEnd"/>
      <w:r>
        <w:t xml:space="preserve"> or a plate reader with fluorescent capability. Note that a </w:t>
      </w:r>
      <w:proofErr w:type="spellStart"/>
      <w:r>
        <w:t>NanoDrop</w:t>
      </w:r>
      <w:proofErr w:type="spellEnd"/>
      <w:r>
        <w:t xml:space="preserve"> does not give </w:t>
      </w:r>
      <w:r w:rsidR="007E3D35">
        <w:t>an accurate</w:t>
      </w:r>
      <w:r>
        <w:t xml:space="preserve"> quantification </w:t>
      </w:r>
      <w:r w:rsidR="007E3D35">
        <w:t>of PCR products so don’t use it here.</w:t>
      </w:r>
    </w:p>
    <w:p w14:paraId="335CC0C2" w14:textId="77777777" w:rsidR="00B51C99" w:rsidRDefault="00B51C99" w:rsidP="000C08D8">
      <w:pPr>
        <w:ind w:left="360"/>
        <w:jc w:val="both"/>
      </w:pPr>
    </w:p>
    <w:p w14:paraId="085BA7D3" w14:textId="59851D1B" w:rsidR="00B51C99" w:rsidRDefault="00B51C99" w:rsidP="000C08D8">
      <w:pPr>
        <w:ind w:left="360"/>
        <w:jc w:val="both"/>
      </w:pPr>
      <w:r>
        <w:t>*</w:t>
      </w:r>
      <w:r w:rsidRPr="007E3D35">
        <w:rPr>
          <w:b/>
        </w:rPr>
        <w:t>Important note:</w:t>
      </w:r>
      <w:r>
        <w:t xml:space="preserve"> if you are running samples with the same barcodes as used in previous studies in the same lab, be careful about contamination at this stage.  We recommend that you take precaution (wiping pipettes down with nucleases, using filtered tips) to avoid that possi</w:t>
      </w:r>
      <w:r w:rsidR="007E3D35">
        <w:t>bility.  See Nguyen et al. (2015</w:t>
      </w:r>
      <w:r>
        <w:t>) for more details.</w:t>
      </w:r>
    </w:p>
    <w:p w14:paraId="5124455C" w14:textId="77777777" w:rsidR="00D17457" w:rsidRDefault="00D17457" w:rsidP="000C08D8">
      <w:pPr>
        <w:jc w:val="both"/>
      </w:pPr>
    </w:p>
    <w:p w14:paraId="7785C1BF" w14:textId="77777777" w:rsidR="00D17457" w:rsidRPr="000C50EB" w:rsidRDefault="00D17457" w:rsidP="000C08D8">
      <w:pPr>
        <w:pStyle w:val="ListParagraph"/>
        <w:numPr>
          <w:ilvl w:val="0"/>
          <w:numId w:val="5"/>
        </w:numPr>
        <w:jc w:val="both"/>
        <w:rPr>
          <w:b/>
          <w:i/>
        </w:rPr>
      </w:pPr>
      <w:r w:rsidRPr="000C50EB">
        <w:rPr>
          <w:b/>
          <w:i/>
        </w:rPr>
        <w:t>Library preparation</w:t>
      </w:r>
    </w:p>
    <w:p w14:paraId="78F0413D" w14:textId="593C1DF0" w:rsidR="000C50EB" w:rsidRDefault="000C50EB" w:rsidP="000C08D8">
      <w:pPr>
        <w:pStyle w:val="ListParagraph"/>
        <w:ind w:left="360"/>
        <w:jc w:val="both"/>
      </w:pPr>
      <w:r>
        <w:t xml:space="preserve">Once you have all the samples quantified, fill out the concentration in the excel spreadsheet called </w:t>
      </w:r>
      <w:hyperlink r:id="rId13" w:history="1">
        <w:r w:rsidR="00691DCA" w:rsidRPr="00691DCA">
          <w:rPr>
            <w:rStyle w:val="Hyperlink"/>
          </w:rPr>
          <w:t>PCR_dilutions.xlsx</w:t>
        </w:r>
      </w:hyperlink>
      <w:r>
        <w:t xml:space="preserve">. This spreadsheet will give you the amount you need to add from each sample so that they are combined in </w:t>
      </w:r>
      <w:proofErr w:type="spellStart"/>
      <w:r>
        <w:t>equimolar</w:t>
      </w:r>
      <w:proofErr w:type="spellEnd"/>
      <w:r>
        <w:t xml:space="preserve"> conce</w:t>
      </w:r>
      <w:r w:rsidR="007E3D35">
        <w:t xml:space="preserve">ntration. The </w:t>
      </w:r>
      <w:proofErr w:type="gramStart"/>
      <w:r w:rsidR="007E3D35">
        <w:t>spreadsheet give</w:t>
      </w:r>
      <w:proofErr w:type="gramEnd"/>
      <w:r w:rsidR="007E3D35">
        <w:t xml:space="preserve"> you several </w:t>
      </w:r>
      <w:r>
        <w:t xml:space="preserve">columns and final concentrations, but for </w:t>
      </w:r>
      <w:proofErr w:type="spellStart"/>
      <w:r>
        <w:t>Illumina</w:t>
      </w:r>
      <w:proofErr w:type="spellEnd"/>
      <w:r>
        <w:t>, it’s only necessary to use the 25</w:t>
      </w:r>
      <w:r w:rsidR="002C2F4E">
        <w:t xml:space="preserve"> </w:t>
      </w:r>
      <w:proofErr w:type="spellStart"/>
      <w:r w:rsidR="002C2F4E">
        <w:t>ng</w:t>
      </w:r>
      <w:proofErr w:type="spellEnd"/>
      <w:r w:rsidR="002C2F4E">
        <w:t>/</w:t>
      </w:r>
      <w:proofErr w:type="spellStart"/>
      <w:r w:rsidR="002C2F4E">
        <w:rPr>
          <w:rFonts w:ascii="Cambria" w:hAnsi="Cambria"/>
        </w:rPr>
        <w:t>μ</w:t>
      </w:r>
      <w:r w:rsidR="002C2F4E">
        <w:t>l</w:t>
      </w:r>
      <w:proofErr w:type="spellEnd"/>
      <w:r>
        <w:t xml:space="preserve"> column.</w:t>
      </w:r>
      <w:r w:rsidR="002C2F4E">
        <w:t xml:space="preserve"> Combine all products according to the values given i</w:t>
      </w:r>
      <w:r w:rsidR="007E3D35">
        <w:t>n the PCR dilution spreadsheet. For the negative control, add the amount that is the average volume of all of the PCR products you’ve added.</w:t>
      </w:r>
    </w:p>
    <w:p w14:paraId="1E477EAD" w14:textId="77777777" w:rsidR="000C50EB" w:rsidRDefault="000C50EB" w:rsidP="000C08D8">
      <w:pPr>
        <w:pStyle w:val="ListParagraph"/>
        <w:ind w:left="360"/>
        <w:jc w:val="both"/>
      </w:pPr>
    </w:p>
    <w:p w14:paraId="44F22559" w14:textId="65BEE6BB" w:rsidR="000C50EB" w:rsidRDefault="000C50EB" w:rsidP="000C08D8">
      <w:pPr>
        <w:pStyle w:val="ListParagraph"/>
        <w:ind w:left="360"/>
        <w:jc w:val="both"/>
      </w:pPr>
      <w:r>
        <w:t xml:space="preserve">Once you have combined all the products </w:t>
      </w:r>
      <w:r w:rsidR="00CC16DA">
        <w:t xml:space="preserve">together into one tube, quantify the amount again to make sure that you have </w:t>
      </w:r>
      <w:r w:rsidR="00365DE8">
        <w:t>about</w:t>
      </w:r>
      <w:r w:rsidR="00CC16DA">
        <w:t xml:space="preserve"> </w:t>
      </w:r>
      <w:r w:rsidR="00CC16DA" w:rsidRPr="007C3BA0">
        <w:t>1</w:t>
      </w:r>
      <w:r w:rsidR="002E25D9" w:rsidRPr="007C3BA0">
        <w:t>0</w:t>
      </w:r>
      <w:r w:rsidR="005865B3" w:rsidRPr="007C3BA0">
        <w:t xml:space="preserve"> </w:t>
      </w:r>
      <w:proofErr w:type="spellStart"/>
      <w:r w:rsidR="002E25D9" w:rsidRPr="007C3BA0">
        <w:t>ng</w:t>
      </w:r>
      <w:proofErr w:type="spellEnd"/>
      <w:r w:rsidR="002E25D9" w:rsidRPr="007C3BA0">
        <w:t>/</w:t>
      </w:r>
      <w:proofErr w:type="spellStart"/>
      <w:r w:rsidR="002C2F4E" w:rsidRPr="007C3BA0">
        <w:rPr>
          <w:rFonts w:ascii="Cambria" w:hAnsi="Cambria"/>
        </w:rPr>
        <w:t>μ</w:t>
      </w:r>
      <w:r w:rsidR="002E25D9" w:rsidRPr="007C3BA0">
        <w:t>l</w:t>
      </w:r>
      <w:proofErr w:type="spellEnd"/>
      <w:r w:rsidR="00CC16DA" w:rsidRPr="007C3BA0">
        <w:t>.</w:t>
      </w:r>
      <w:r w:rsidR="00CC16DA">
        <w:t xml:space="preserve"> This is the minimum amount needed for the BMGC.</w:t>
      </w:r>
      <w:r w:rsidR="002E25D9">
        <w:t xml:space="preserve"> </w:t>
      </w:r>
      <w:r w:rsidR="00243518">
        <w:t>If it’s lower, you must concentrate the sample by either running part of it again t</w:t>
      </w:r>
      <w:r w:rsidR="002C2F4E">
        <w:t xml:space="preserve">hrough a column or using the </w:t>
      </w:r>
      <w:proofErr w:type="spellStart"/>
      <w:r w:rsidR="002C2F4E">
        <w:t>AMP</w:t>
      </w:r>
      <w:r w:rsidR="00243518">
        <w:t>ure</w:t>
      </w:r>
      <w:proofErr w:type="spellEnd"/>
      <w:r w:rsidR="00243518">
        <w:t xml:space="preserve"> kit. </w:t>
      </w:r>
      <w:r w:rsidR="002E25D9">
        <w:t xml:space="preserve">If your sample is higher than </w:t>
      </w:r>
      <w:r w:rsidR="002C2F4E" w:rsidRPr="007C3BA0">
        <w:t>10</w:t>
      </w:r>
      <w:r w:rsidR="005865B3" w:rsidRPr="007C3BA0">
        <w:t xml:space="preserve"> </w:t>
      </w:r>
      <w:proofErr w:type="spellStart"/>
      <w:r w:rsidR="002C2F4E" w:rsidRPr="007C3BA0">
        <w:t>ng</w:t>
      </w:r>
      <w:proofErr w:type="spellEnd"/>
      <w:r w:rsidR="002C2F4E" w:rsidRPr="007C3BA0">
        <w:t>/</w:t>
      </w:r>
      <w:proofErr w:type="spellStart"/>
      <w:r w:rsidR="002C2F4E" w:rsidRPr="007C3BA0">
        <w:rPr>
          <w:rFonts w:ascii="Cambria" w:hAnsi="Cambria"/>
        </w:rPr>
        <w:t>μ</w:t>
      </w:r>
      <w:r w:rsidR="002E25D9" w:rsidRPr="007C3BA0">
        <w:t>l</w:t>
      </w:r>
      <w:proofErr w:type="spellEnd"/>
      <w:r w:rsidR="002E25D9" w:rsidRPr="007C3BA0">
        <w:t>,</w:t>
      </w:r>
      <w:r w:rsidR="002E25D9">
        <w:t xml:space="preserve"> don’t worry about it. </w:t>
      </w:r>
      <w:r w:rsidR="002C2F4E">
        <w:t>Before running any samples, t</w:t>
      </w:r>
      <w:r w:rsidR="00243518">
        <w:t xml:space="preserve">he BMGC staff will do </w:t>
      </w:r>
      <w:r w:rsidR="002C2F4E">
        <w:t xml:space="preserve">a much more sensitive </w:t>
      </w:r>
      <w:r w:rsidR="007C3BA0">
        <w:t xml:space="preserve">quantification, dilute the product to the proper concentration, and run CAPA analysis to make sure your library works before running it on the </w:t>
      </w:r>
      <w:proofErr w:type="spellStart"/>
      <w:r w:rsidR="007C3BA0">
        <w:t>Illumina</w:t>
      </w:r>
      <w:proofErr w:type="spellEnd"/>
      <w:r w:rsidR="007C3BA0">
        <w:t xml:space="preserve"> chip.</w:t>
      </w:r>
    </w:p>
    <w:p w14:paraId="6166A8BB" w14:textId="77777777" w:rsidR="00D17457" w:rsidRDefault="00D17457" w:rsidP="000C08D8">
      <w:pPr>
        <w:ind w:left="360"/>
        <w:jc w:val="both"/>
      </w:pPr>
    </w:p>
    <w:p w14:paraId="037FE822" w14:textId="29531E14" w:rsidR="00CC16DA" w:rsidRDefault="00CC16DA" w:rsidP="000C08D8">
      <w:pPr>
        <w:ind w:left="360"/>
        <w:jc w:val="both"/>
      </w:pPr>
      <w:r>
        <w:t xml:space="preserve">Once you have </w:t>
      </w:r>
      <w:r w:rsidR="002E25D9">
        <w:t>the appropriate concentration, aliquot 20</w:t>
      </w:r>
      <w:r w:rsidR="005865B3">
        <w:t xml:space="preserve"> </w:t>
      </w:r>
      <w:proofErr w:type="spellStart"/>
      <w:r w:rsidR="005865B3">
        <w:rPr>
          <w:rFonts w:ascii="Cambria" w:hAnsi="Cambria"/>
        </w:rPr>
        <w:t>μ</w:t>
      </w:r>
      <w:r w:rsidR="002E25D9">
        <w:t>l</w:t>
      </w:r>
      <w:proofErr w:type="spellEnd"/>
      <w:r w:rsidR="002E25D9">
        <w:t xml:space="preserve"> into a clean tube and keep it frozen until you’re ready to submit.</w:t>
      </w:r>
      <w:r w:rsidR="005865B3">
        <w:t xml:space="preserve"> Keep the rest of your samples frozen for backup.</w:t>
      </w:r>
    </w:p>
    <w:p w14:paraId="3A6400F3" w14:textId="77777777" w:rsidR="00D17457" w:rsidRDefault="00D17457" w:rsidP="000C08D8">
      <w:pPr>
        <w:jc w:val="both"/>
      </w:pPr>
    </w:p>
    <w:p w14:paraId="0549CACC" w14:textId="7AF5A269" w:rsidR="00CC16DA" w:rsidRPr="00CC16DA" w:rsidRDefault="00CC16DA" w:rsidP="000C08D8">
      <w:pPr>
        <w:pStyle w:val="ListParagraph"/>
        <w:numPr>
          <w:ilvl w:val="0"/>
          <w:numId w:val="5"/>
        </w:numPr>
        <w:jc w:val="both"/>
        <w:rPr>
          <w:b/>
          <w:i/>
        </w:rPr>
      </w:pPr>
      <w:r w:rsidRPr="00CC16DA">
        <w:rPr>
          <w:b/>
          <w:i/>
        </w:rPr>
        <w:t>Preparing sequencing primers</w:t>
      </w:r>
    </w:p>
    <w:p w14:paraId="0B4147D1" w14:textId="0B28C14F" w:rsidR="00CC16DA" w:rsidRDefault="00CC16DA" w:rsidP="000C08D8">
      <w:pPr>
        <w:pStyle w:val="ListParagraph"/>
        <w:ind w:left="360"/>
        <w:jc w:val="both"/>
      </w:pPr>
      <w:r>
        <w:t xml:space="preserve">Once you have received the three </w:t>
      </w:r>
      <w:proofErr w:type="spellStart"/>
      <w:r>
        <w:t>Illumina</w:t>
      </w:r>
      <w:proofErr w:type="spellEnd"/>
      <w:r>
        <w:t xml:space="preserve"> sequencing primers, dilute them to 100</w:t>
      </w:r>
      <w:r w:rsidR="005865B3">
        <w:t xml:space="preserve"> </w:t>
      </w:r>
      <w:proofErr w:type="spellStart"/>
      <w:r w:rsidR="005865B3">
        <w:rPr>
          <w:rFonts w:ascii="Cambria" w:hAnsi="Cambria"/>
        </w:rPr>
        <w:t>μ</w:t>
      </w:r>
      <w:r>
        <w:t>M</w:t>
      </w:r>
      <w:proofErr w:type="spellEnd"/>
      <w:r>
        <w:t xml:space="preserve"> in PCR water.</w:t>
      </w:r>
    </w:p>
    <w:p w14:paraId="5940A7BD" w14:textId="77777777" w:rsidR="00CC16DA" w:rsidRDefault="00CC16DA" w:rsidP="000C08D8">
      <w:pPr>
        <w:pStyle w:val="ListParagraph"/>
        <w:ind w:left="360"/>
        <w:jc w:val="both"/>
      </w:pPr>
    </w:p>
    <w:p w14:paraId="00711B3C" w14:textId="6FD0DCB3" w:rsidR="00CC16DA" w:rsidRDefault="002E25D9" w:rsidP="000C08D8">
      <w:pPr>
        <w:pStyle w:val="ListParagraph"/>
        <w:ind w:left="360"/>
        <w:jc w:val="both"/>
      </w:pPr>
      <w:r>
        <w:t>Prepare one tube for each primer, and aliquot 5</w:t>
      </w:r>
      <w:r w:rsidR="005865B3">
        <w:t xml:space="preserve"> </w:t>
      </w:r>
      <w:proofErr w:type="spellStart"/>
      <w:r w:rsidR="005865B3">
        <w:rPr>
          <w:rFonts w:ascii="Cambria" w:hAnsi="Cambria"/>
        </w:rPr>
        <w:t>μ</w:t>
      </w:r>
      <w:r>
        <w:t>l</w:t>
      </w:r>
      <w:proofErr w:type="spellEnd"/>
      <w:r>
        <w:t xml:space="preserve"> of primer into each. The sequencing facility will use 3.5</w:t>
      </w:r>
      <w:r w:rsidR="005865B3">
        <w:t xml:space="preserve"> </w:t>
      </w:r>
      <w:proofErr w:type="spellStart"/>
      <w:r w:rsidR="005865B3">
        <w:rPr>
          <w:rFonts w:ascii="Cambria" w:hAnsi="Cambria"/>
        </w:rPr>
        <w:t>μ</w:t>
      </w:r>
      <w:r>
        <w:t>l</w:t>
      </w:r>
      <w:proofErr w:type="spellEnd"/>
      <w:r>
        <w:t xml:space="preserve"> for the reaction, but it’s good to </w:t>
      </w:r>
      <w:r w:rsidR="005865B3">
        <w:t>give them</w:t>
      </w:r>
      <w:r>
        <w:t xml:space="preserve"> a little extra.</w:t>
      </w:r>
    </w:p>
    <w:p w14:paraId="2B8EB699" w14:textId="77777777" w:rsidR="00D17457" w:rsidRDefault="00D17457" w:rsidP="000C08D8">
      <w:pPr>
        <w:jc w:val="both"/>
      </w:pPr>
    </w:p>
    <w:p w14:paraId="1CFFDD55" w14:textId="77777777" w:rsidR="00D17457" w:rsidRPr="004E765B" w:rsidRDefault="00D17457" w:rsidP="000C08D8">
      <w:pPr>
        <w:pStyle w:val="ListParagraph"/>
        <w:numPr>
          <w:ilvl w:val="0"/>
          <w:numId w:val="5"/>
        </w:numPr>
        <w:jc w:val="both"/>
        <w:rPr>
          <w:b/>
          <w:i/>
        </w:rPr>
      </w:pPr>
      <w:r w:rsidRPr="004E765B">
        <w:rPr>
          <w:b/>
          <w:i/>
        </w:rPr>
        <w:t>Library submission</w:t>
      </w:r>
    </w:p>
    <w:p w14:paraId="1EDABFE0" w14:textId="7C390AB5" w:rsidR="00D17457" w:rsidRDefault="00243518" w:rsidP="000C08D8">
      <w:pPr>
        <w:ind w:left="360"/>
        <w:jc w:val="both"/>
      </w:pPr>
      <w:r>
        <w:t>Before submitting your sample</w:t>
      </w:r>
      <w:r w:rsidR="00B51C99">
        <w:t xml:space="preserve"> at the University of Minnesota</w:t>
      </w:r>
      <w:r>
        <w:t>, you need to create an account with BMGC</w:t>
      </w:r>
      <w:r w:rsidR="005865B3">
        <w:t>, and from there</w:t>
      </w:r>
      <w:r>
        <w:t xml:space="preserve"> you can submit a sample submission form.</w:t>
      </w:r>
    </w:p>
    <w:p w14:paraId="7E88BBF7" w14:textId="77777777" w:rsidR="00243518" w:rsidRDefault="00243518" w:rsidP="000C08D8">
      <w:pPr>
        <w:ind w:left="360"/>
        <w:jc w:val="both"/>
      </w:pPr>
    </w:p>
    <w:p w14:paraId="3699CAC8" w14:textId="3582D89F" w:rsidR="00243518" w:rsidRDefault="00243518" w:rsidP="00985C30">
      <w:pPr>
        <w:ind w:left="360"/>
      </w:pPr>
      <w:r>
        <w:t xml:space="preserve">To create an account, go here: </w:t>
      </w:r>
      <w:r>
        <w:br/>
      </w:r>
      <w:hyperlink r:id="rId14" w:history="1">
        <w:r w:rsidRPr="00604C48">
          <w:rPr>
            <w:rStyle w:val="Hyperlink"/>
          </w:rPr>
          <w:t>http://secure.ahc.umn.edu/ahc/bmgc_new/</w:t>
        </w:r>
      </w:hyperlink>
    </w:p>
    <w:p w14:paraId="5C6ED91B" w14:textId="77777777" w:rsidR="00243518" w:rsidRDefault="00243518" w:rsidP="000C08D8">
      <w:pPr>
        <w:ind w:left="360"/>
        <w:jc w:val="both"/>
      </w:pPr>
    </w:p>
    <w:p w14:paraId="77BD27C5" w14:textId="7B99B953" w:rsidR="00243518" w:rsidRDefault="00243518" w:rsidP="000C08D8">
      <w:pPr>
        <w:ind w:left="360"/>
        <w:jc w:val="both"/>
      </w:pPr>
      <w:r>
        <w:t>If you already have an account simply log in, download the appropriate submission form, in this case the “Libraries only” form under “</w:t>
      </w:r>
      <w:proofErr w:type="spellStart"/>
      <w:r>
        <w:t>Illumina</w:t>
      </w:r>
      <w:proofErr w:type="spellEnd"/>
      <w:r>
        <w:t xml:space="preserve"> Next Generation Sequencing Request”.  Fill out the form according to the instructions and submit through email.</w:t>
      </w:r>
    </w:p>
    <w:p w14:paraId="3FEF890E" w14:textId="77777777" w:rsidR="00243518" w:rsidRDefault="00243518" w:rsidP="000C08D8">
      <w:pPr>
        <w:ind w:left="360"/>
        <w:jc w:val="both"/>
      </w:pPr>
    </w:p>
    <w:p w14:paraId="79110944" w14:textId="27D5FA35" w:rsidR="00243518" w:rsidRDefault="00243518" w:rsidP="000C08D8">
      <w:pPr>
        <w:ind w:left="360"/>
        <w:jc w:val="both"/>
      </w:pPr>
      <w:r>
        <w:t>You will also need to submit the set of barcodes you’ve u</w:t>
      </w:r>
      <w:r w:rsidR="008E5811">
        <w:t xml:space="preserve">sed in your library so that your samples can be </w:t>
      </w:r>
      <w:proofErr w:type="spellStart"/>
      <w:r w:rsidR="008E5811">
        <w:t>demultiplexed</w:t>
      </w:r>
      <w:proofErr w:type="spellEnd"/>
      <w:r w:rsidR="008E5811">
        <w:t xml:space="preserve">. The barcodes must be submitted in reverse complement. This can be found in the </w:t>
      </w:r>
      <w:r w:rsidR="00BC24BC">
        <w:t>primer</w:t>
      </w:r>
      <w:r w:rsidR="008E5811">
        <w:t xml:space="preserve"> spreadsheet.</w:t>
      </w:r>
    </w:p>
    <w:p w14:paraId="1D9D7CE0" w14:textId="77777777" w:rsidR="00243518" w:rsidRDefault="00243518" w:rsidP="000C08D8">
      <w:pPr>
        <w:ind w:left="360"/>
        <w:jc w:val="both"/>
      </w:pPr>
    </w:p>
    <w:p w14:paraId="486AB507" w14:textId="2FB976D8" w:rsidR="00243518" w:rsidRDefault="00243518" w:rsidP="000C08D8">
      <w:pPr>
        <w:ind w:left="360"/>
        <w:jc w:val="both"/>
      </w:pPr>
      <w:r>
        <w:t>Once you have done this, print out the first page of the order form and bring that along with your library and 3 sequencing primers to the BMCG St. Paul Campus facility in 28 Snyder Hall.</w:t>
      </w:r>
    </w:p>
    <w:p w14:paraId="5B6A90EF" w14:textId="77777777" w:rsidR="00BC763F" w:rsidRDefault="00BC763F" w:rsidP="000C08D8">
      <w:pPr>
        <w:ind w:left="360"/>
        <w:jc w:val="both"/>
      </w:pPr>
    </w:p>
    <w:p w14:paraId="2246FE7D" w14:textId="77777777" w:rsidR="00BC763F" w:rsidRDefault="00BC763F" w:rsidP="000C08D8">
      <w:pPr>
        <w:ind w:left="360"/>
        <w:jc w:val="both"/>
      </w:pPr>
    </w:p>
    <w:p w14:paraId="7A323404" w14:textId="77777777" w:rsidR="00D17457" w:rsidRDefault="00D17457" w:rsidP="000C08D8">
      <w:pPr>
        <w:jc w:val="both"/>
        <w:rPr>
          <w:b/>
          <w:sz w:val="28"/>
          <w:szCs w:val="28"/>
        </w:rPr>
      </w:pPr>
      <w:r w:rsidRPr="00BC763F">
        <w:rPr>
          <w:b/>
          <w:sz w:val="28"/>
          <w:szCs w:val="28"/>
        </w:rPr>
        <w:t>III. Sequence library processing</w:t>
      </w:r>
    </w:p>
    <w:p w14:paraId="189DB6D6" w14:textId="77777777" w:rsidR="00BC763F" w:rsidRPr="00BC763F" w:rsidRDefault="00BC763F" w:rsidP="000C08D8">
      <w:pPr>
        <w:jc w:val="both"/>
        <w:rPr>
          <w:b/>
          <w:sz w:val="28"/>
          <w:szCs w:val="28"/>
        </w:rPr>
      </w:pPr>
    </w:p>
    <w:p w14:paraId="73027017" w14:textId="77777777" w:rsidR="00D17457" w:rsidRPr="00BC763F" w:rsidRDefault="00D17457" w:rsidP="000C08D8">
      <w:pPr>
        <w:pStyle w:val="ListParagraph"/>
        <w:numPr>
          <w:ilvl w:val="0"/>
          <w:numId w:val="6"/>
        </w:numPr>
        <w:ind w:left="360"/>
        <w:jc w:val="both"/>
        <w:rPr>
          <w:b/>
          <w:i/>
        </w:rPr>
      </w:pPr>
      <w:proofErr w:type="spellStart"/>
      <w:r w:rsidRPr="00BC763F">
        <w:rPr>
          <w:b/>
          <w:i/>
        </w:rPr>
        <w:t>Demultiplexing</w:t>
      </w:r>
      <w:proofErr w:type="spellEnd"/>
      <w:r w:rsidRPr="00BC763F">
        <w:rPr>
          <w:b/>
          <w:i/>
        </w:rPr>
        <w:t xml:space="preserve"> samples</w:t>
      </w:r>
    </w:p>
    <w:p w14:paraId="3F931F43" w14:textId="67A68419" w:rsidR="00D17457" w:rsidRDefault="00BC24BC" w:rsidP="000C08D8">
      <w:pPr>
        <w:ind w:left="360"/>
        <w:jc w:val="both"/>
      </w:pPr>
      <w:r>
        <w:t xml:space="preserve">Often samples will already be </w:t>
      </w:r>
      <w:proofErr w:type="spellStart"/>
      <w:r>
        <w:t>demultiplexed</w:t>
      </w:r>
      <w:proofErr w:type="spellEnd"/>
      <w:r>
        <w:t>. You will receive two files for each of the samples in your library. One file is for the forward and the other is the reverse direction</w:t>
      </w:r>
      <w:r w:rsidR="00365DE8">
        <w:t xml:space="preserve">. You will need to provide the sequencing facility with the sample name and associated reverse complement of the barcodes for </w:t>
      </w:r>
      <w:proofErr w:type="spellStart"/>
      <w:r w:rsidR="00365DE8">
        <w:t>demultiplexing</w:t>
      </w:r>
      <w:proofErr w:type="spellEnd"/>
      <w:r w:rsidR="00365DE8">
        <w:t>.</w:t>
      </w:r>
    </w:p>
    <w:p w14:paraId="0A231F64" w14:textId="77777777" w:rsidR="00D17457" w:rsidRDefault="00D17457" w:rsidP="000C08D8">
      <w:pPr>
        <w:jc w:val="both"/>
      </w:pPr>
    </w:p>
    <w:p w14:paraId="7EA6E9D6" w14:textId="2DAC6DB7" w:rsidR="00195D3A" w:rsidRDefault="00195D3A" w:rsidP="000C08D8">
      <w:pPr>
        <w:pStyle w:val="ListParagraph"/>
        <w:numPr>
          <w:ilvl w:val="0"/>
          <w:numId w:val="6"/>
        </w:numPr>
        <w:ind w:left="360"/>
        <w:jc w:val="both"/>
        <w:rPr>
          <w:b/>
          <w:i/>
        </w:rPr>
      </w:pPr>
      <w:r>
        <w:rPr>
          <w:b/>
          <w:i/>
        </w:rPr>
        <w:t>Quality filtering</w:t>
      </w:r>
    </w:p>
    <w:p w14:paraId="6465BA64" w14:textId="393D2EC1" w:rsidR="00195D3A" w:rsidRDefault="00195D3A" w:rsidP="000C08D8">
      <w:pPr>
        <w:pStyle w:val="ListParagraph"/>
        <w:ind w:left="360"/>
        <w:jc w:val="both"/>
      </w:pPr>
      <w:r>
        <w:t>We have found that using the forward read (R1) gives much better results than the reverse read (R2) or paired sequences. Therefore, we sugges</w:t>
      </w:r>
      <w:r w:rsidR="00365DE8">
        <w:t>t using only your forward reads, although you may want to try pairing the reads as well.</w:t>
      </w:r>
      <w:r>
        <w:t xml:space="preserve"> </w:t>
      </w:r>
      <w:r w:rsidRPr="00195D3A">
        <w:t xml:space="preserve">There are </w:t>
      </w:r>
      <w:r>
        <w:t>many approaches to quality filter your data, we use the workflow below, which gives basically the equivalent results to the QIIME workflow “</w:t>
      </w:r>
      <w:r w:rsidRPr="00195D3A">
        <w:t>split_libraries_fastq.py</w:t>
      </w:r>
      <w:r>
        <w:t>”.</w:t>
      </w:r>
    </w:p>
    <w:p w14:paraId="11F1DAEE" w14:textId="77777777" w:rsidR="00195D3A" w:rsidRDefault="00195D3A" w:rsidP="000C08D8">
      <w:pPr>
        <w:pStyle w:val="ListParagraph"/>
        <w:ind w:left="360"/>
        <w:jc w:val="both"/>
      </w:pPr>
    </w:p>
    <w:p w14:paraId="06688BAB" w14:textId="5D009FE2" w:rsidR="00195D3A" w:rsidRDefault="00195D3A" w:rsidP="000C08D8">
      <w:pPr>
        <w:pStyle w:val="ListParagraph"/>
        <w:ind w:left="360"/>
        <w:jc w:val="both"/>
      </w:pPr>
      <w:r>
        <w:t>For our workflow, you will need three pieces of software:</w:t>
      </w:r>
    </w:p>
    <w:p w14:paraId="56718B7A" w14:textId="604D7B8D" w:rsidR="00195D3A" w:rsidRDefault="00195D3A" w:rsidP="000C08D8">
      <w:pPr>
        <w:pStyle w:val="ListParagraph"/>
        <w:ind w:left="360"/>
        <w:jc w:val="both"/>
      </w:pPr>
      <w:proofErr w:type="spellStart"/>
      <w:proofErr w:type="gramStart"/>
      <w:r>
        <w:t>cutadapt</w:t>
      </w:r>
      <w:proofErr w:type="spellEnd"/>
      <w:proofErr w:type="gramEnd"/>
      <w:r>
        <w:t xml:space="preserve"> (</w:t>
      </w:r>
      <w:hyperlink r:id="rId15" w:history="1">
        <w:r w:rsidRPr="00373A4B">
          <w:rPr>
            <w:rStyle w:val="Hyperlink"/>
          </w:rPr>
          <w:t>https://code.google.com/p/cutadapt</w:t>
        </w:r>
      </w:hyperlink>
      <w:r>
        <w:t>)</w:t>
      </w:r>
    </w:p>
    <w:p w14:paraId="7C0295C3" w14:textId="1D2F0729" w:rsidR="00195D3A" w:rsidRDefault="00195D3A" w:rsidP="000C08D8">
      <w:pPr>
        <w:pStyle w:val="ListParagraph"/>
        <w:ind w:left="360"/>
        <w:jc w:val="both"/>
      </w:pPr>
      <w:proofErr w:type="spellStart"/>
      <w:r>
        <w:t>Trimmomatic</w:t>
      </w:r>
      <w:proofErr w:type="spellEnd"/>
      <w:r>
        <w:t xml:space="preserve"> (</w:t>
      </w:r>
      <w:hyperlink r:id="rId16" w:history="1">
        <w:r w:rsidRPr="00373A4B">
          <w:rPr>
            <w:rStyle w:val="Hyperlink"/>
          </w:rPr>
          <w:t>http://www.usadellab.org/cms/?page=trimmomatic</w:t>
        </w:r>
      </w:hyperlink>
      <w:r>
        <w:t>)</w:t>
      </w:r>
    </w:p>
    <w:p w14:paraId="115ED28E" w14:textId="39141627" w:rsidR="00195D3A" w:rsidRDefault="00195D3A" w:rsidP="000C08D8">
      <w:pPr>
        <w:pStyle w:val="ListParagraph"/>
        <w:ind w:left="360"/>
        <w:jc w:val="both"/>
      </w:pPr>
      <w:proofErr w:type="spellStart"/>
      <w:proofErr w:type="gramStart"/>
      <w:r>
        <w:t>mothur</w:t>
      </w:r>
      <w:proofErr w:type="spellEnd"/>
      <w:proofErr w:type="gramEnd"/>
      <w:r>
        <w:t xml:space="preserve"> (</w:t>
      </w:r>
      <w:hyperlink r:id="rId17" w:history="1">
        <w:r w:rsidRPr="00373A4B">
          <w:rPr>
            <w:rStyle w:val="Hyperlink"/>
          </w:rPr>
          <w:t>http://www.mothur.org/</w:t>
        </w:r>
      </w:hyperlink>
      <w:r>
        <w:t>) - included with QIIME</w:t>
      </w:r>
    </w:p>
    <w:p w14:paraId="6A89B18B" w14:textId="77777777" w:rsidR="00195D3A" w:rsidRDefault="00195D3A" w:rsidP="000C08D8">
      <w:pPr>
        <w:pStyle w:val="ListParagraph"/>
        <w:ind w:left="360"/>
        <w:jc w:val="both"/>
      </w:pPr>
    </w:p>
    <w:p w14:paraId="53CCA957" w14:textId="5D22D654" w:rsidR="00195D3A" w:rsidRDefault="00195D3A" w:rsidP="000C08D8">
      <w:pPr>
        <w:pStyle w:val="ListParagraph"/>
        <w:ind w:left="360"/>
        <w:jc w:val="both"/>
      </w:pPr>
      <w:r>
        <w:t xml:space="preserve">Download and install </w:t>
      </w:r>
      <w:proofErr w:type="spellStart"/>
      <w:r>
        <w:t>cutadapt</w:t>
      </w:r>
      <w:proofErr w:type="spellEnd"/>
      <w:r>
        <w:t xml:space="preserve"> and </w:t>
      </w:r>
      <w:proofErr w:type="spellStart"/>
      <w:r>
        <w:t>Trimmomatic</w:t>
      </w:r>
      <w:proofErr w:type="spellEnd"/>
      <w:r>
        <w:t>. Put them into your bin (/</w:t>
      </w:r>
      <w:proofErr w:type="spellStart"/>
      <w:r>
        <w:t>usr</w:t>
      </w:r>
      <w:proofErr w:type="spellEnd"/>
      <w:r>
        <w:t>/local/bin) and make sure that you give execute permission (</w:t>
      </w:r>
      <w:proofErr w:type="spellStart"/>
      <w:r>
        <w:t>chmod</w:t>
      </w:r>
      <w:proofErr w:type="spellEnd"/>
      <w:r>
        <w:t xml:space="preserve"> </w:t>
      </w:r>
      <w:proofErr w:type="spellStart"/>
      <w:r>
        <w:t>a+x</w:t>
      </w:r>
      <w:proofErr w:type="spellEnd"/>
      <w:r>
        <w:t>) to the binaries.</w:t>
      </w:r>
    </w:p>
    <w:p w14:paraId="1C853267" w14:textId="77777777" w:rsidR="00195D3A" w:rsidRDefault="00195D3A" w:rsidP="000C08D8">
      <w:pPr>
        <w:pStyle w:val="ListParagraph"/>
        <w:ind w:left="360"/>
        <w:jc w:val="both"/>
      </w:pPr>
    </w:p>
    <w:p w14:paraId="680B0FEB" w14:textId="5862F664" w:rsidR="00195D3A" w:rsidRPr="00195D3A" w:rsidRDefault="00195D3A" w:rsidP="000C08D8">
      <w:pPr>
        <w:ind w:left="360"/>
        <w:jc w:val="both"/>
        <w:rPr>
          <w:b/>
        </w:rPr>
      </w:pPr>
      <w:r w:rsidRPr="00195D3A">
        <w:rPr>
          <w:b/>
        </w:rPr>
        <w:t xml:space="preserve">a. </w:t>
      </w:r>
      <w:proofErr w:type="gramStart"/>
      <w:r w:rsidRPr="00195D3A">
        <w:rPr>
          <w:b/>
        </w:rPr>
        <w:t>make</w:t>
      </w:r>
      <w:proofErr w:type="gramEnd"/>
      <w:r w:rsidRPr="00195D3A">
        <w:rPr>
          <w:b/>
        </w:rPr>
        <w:t xml:space="preserve"> working directories</w:t>
      </w:r>
    </w:p>
    <w:p w14:paraId="0B6E9F30" w14:textId="77777777" w:rsidR="00195D3A" w:rsidRPr="00195D3A" w:rsidRDefault="00195D3A" w:rsidP="000C08D8">
      <w:pPr>
        <w:ind w:left="360"/>
        <w:jc w:val="both"/>
        <w:rPr>
          <w:sz w:val="20"/>
          <w:szCs w:val="20"/>
        </w:rPr>
      </w:pPr>
      <w:proofErr w:type="spellStart"/>
      <w:proofErr w:type="gramStart"/>
      <w:r w:rsidRPr="00195D3A">
        <w:rPr>
          <w:sz w:val="20"/>
          <w:szCs w:val="20"/>
        </w:rPr>
        <w:t>mkdir</w:t>
      </w:r>
      <w:proofErr w:type="spellEnd"/>
      <w:proofErr w:type="gramEnd"/>
      <w:r w:rsidRPr="00195D3A">
        <w:rPr>
          <w:sz w:val="20"/>
          <w:szCs w:val="20"/>
        </w:rPr>
        <w:t xml:space="preserve"> processing/</w:t>
      </w:r>
    </w:p>
    <w:p w14:paraId="2DDDAEBC" w14:textId="77777777" w:rsidR="00195D3A" w:rsidRPr="00195D3A" w:rsidRDefault="00195D3A" w:rsidP="000C08D8">
      <w:pPr>
        <w:ind w:left="360"/>
        <w:jc w:val="both"/>
        <w:rPr>
          <w:sz w:val="20"/>
          <w:szCs w:val="20"/>
        </w:rPr>
      </w:pPr>
      <w:proofErr w:type="spellStart"/>
      <w:proofErr w:type="gramStart"/>
      <w:r w:rsidRPr="00195D3A">
        <w:rPr>
          <w:sz w:val="20"/>
          <w:szCs w:val="20"/>
        </w:rPr>
        <w:t>mkdir</w:t>
      </w:r>
      <w:proofErr w:type="spellEnd"/>
      <w:proofErr w:type="gramEnd"/>
      <w:r w:rsidRPr="00195D3A">
        <w:rPr>
          <w:sz w:val="20"/>
          <w:szCs w:val="20"/>
        </w:rPr>
        <w:t xml:space="preserve"> 2_201/</w:t>
      </w:r>
    </w:p>
    <w:p w14:paraId="2C8521EA" w14:textId="77777777" w:rsidR="00195D3A" w:rsidRDefault="00195D3A" w:rsidP="000C08D8">
      <w:pPr>
        <w:ind w:left="360"/>
        <w:jc w:val="both"/>
      </w:pPr>
    </w:p>
    <w:p w14:paraId="0A72C9A8" w14:textId="149F42C3" w:rsidR="00195D3A" w:rsidRPr="00195D3A" w:rsidRDefault="00195D3A" w:rsidP="000C08D8">
      <w:pPr>
        <w:ind w:left="360"/>
        <w:jc w:val="both"/>
        <w:rPr>
          <w:b/>
        </w:rPr>
      </w:pPr>
      <w:r w:rsidRPr="00195D3A">
        <w:rPr>
          <w:b/>
        </w:rPr>
        <w:t xml:space="preserve">b. </w:t>
      </w:r>
      <w:proofErr w:type="gramStart"/>
      <w:r w:rsidRPr="00195D3A">
        <w:rPr>
          <w:b/>
        </w:rPr>
        <w:t>remove</w:t>
      </w:r>
      <w:proofErr w:type="gramEnd"/>
      <w:r w:rsidRPr="00195D3A">
        <w:rPr>
          <w:b/>
        </w:rPr>
        <w:t xml:space="preserve"> distal priming/adapter sites from ends of reads</w:t>
      </w:r>
    </w:p>
    <w:p w14:paraId="70AED59F" w14:textId="77777777" w:rsidR="00195D3A" w:rsidRPr="00195D3A" w:rsidRDefault="00195D3A" w:rsidP="00985C30">
      <w:pPr>
        <w:ind w:left="360"/>
        <w:rPr>
          <w:sz w:val="20"/>
          <w:szCs w:val="20"/>
        </w:rPr>
      </w:pPr>
      <w:proofErr w:type="spellStart"/>
      <w:proofErr w:type="gramStart"/>
      <w:r w:rsidRPr="00195D3A">
        <w:rPr>
          <w:sz w:val="20"/>
          <w:szCs w:val="20"/>
        </w:rPr>
        <w:t>cutadapt</w:t>
      </w:r>
      <w:proofErr w:type="spellEnd"/>
      <w:proofErr w:type="gramEnd"/>
      <w:r w:rsidRPr="00195D3A">
        <w:rPr>
          <w:sz w:val="20"/>
          <w:szCs w:val="20"/>
        </w:rPr>
        <w:t xml:space="preserve"> -a GATCTCTTGGNTCTNGCATCGATGAAGAACG -q 20 -e 0.2 </w:t>
      </w:r>
      <w:proofErr w:type="spellStart"/>
      <w:r w:rsidRPr="00195D3A">
        <w:rPr>
          <w:sz w:val="20"/>
          <w:szCs w:val="20"/>
        </w:rPr>
        <w:t>raw_data</w:t>
      </w:r>
      <w:proofErr w:type="spellEnd"/>
      <w:r w:rsidRPr="00195D3A">
        <w:rPr>
          <w:sz w:val="20"/>
          <w:szCs w:val="20"/>
        </w:rPr>
        <w:t>/65_S65_L001_R1_001.fastq -o processing/65_R1.fastq    #Stops forward read at the ITS2 priming site</w:t>
      </w:r>
    </w:p>
    <w:p w14:paraId="03C7CC76" w14:textId="77777777" w:rsidR="00985C30" w:rsidRDefault="00985C30" w:rsidP="00985C30">
      <w:pPr>
        <w:ind w:left="360"/>
        <w:rPr>
          <w:sz w:val="20"/>
          <w:szCs w:val="20"/>
        </w:rPr>
      </w:pPr>
    </w:p>
    <w:p w14:paraId="7E461950" w14:textId="77777777" w:rsidR="00195D3A" w:rsidRPr="00195D3A" w:rsidRDefault="00195D3A" w:rsidP="00985C30">
      <w:pPr>
        <w:ind w:left="360"/>
        <w:rPr>
          <w:sz w:val="20"/>
          <w:szCs w:val="20"/>
        </w:rPr>
      </w:pPr>
      <w:proofErr w:type="spellStart"/>
      <w:proofErr w:type="gramStart"/>
      <w:r w:rsidRPr="00195D3A">
        <w:rPr>
          <w:sz w:val="20"/>
          <w:szCs w:val="20"/>
        </w:rPr>
        <w:t>cutadapt</w:t>
      </w:r>
      <w:proofErr w:type="spellEnd"/>
      <w:proofErr w:type="gramEnd"/>
      <w:r w:rsidRPr="00195D3A">
        <w:rPr>
          <w:sz w:val="20"/>
          <w:szCs w:val="20"/>
        </w:rPr>
        <w:t xml:space="preserve"> -a GGAAACCTTGTTACGACTTTTACTTCCTCTAAATGACCAA -q 20 -e 0.3 </w:t>
      </w:r>
      <w:proofErr w:type="spellStart"/>
      <w:r w:rsidRPr="00195D3A">
        <w:rPr>
          <w:sz w:val="20"/>
          <w:szCs w:val="20"/>
        </w:rPr>
        <w:t>raw_data</w:t>
      </w:r>
      <w:proofErr w:type="spellEnd"/>
      <w:r w:rsidRPr="00195D3A">
        <w:rPr>
          <w:sz w:val="20"/>
          <w:szCs w:val="20"/>
        </w:rPr>
        <w:t>/65_S65_L001_R2_001.fastq -o processing/65_R2.fastq   #Stops reverse read at the ITS1f priming site</w:t>
      </w:r>
    </w:p>
    <w:p w14:paraId="62460946" w14:textId="77777777" w:rsidR="00195D3A" w:rsidRDefault="00195D3A" w:rsidP="00985C30">
      <w:pPr>
        <w:ind w:left="360"/>
      </w:pPr>
    </w:p>
    <w:p w14:paraId="33DE9BF8" w14:textId="5A5BDDEC" w:rsidR="00195D3A" w:rsidRPr="00195D3A" w:rsidRDefault="00195D3A" w:rsidP="00985C30">
      <w:pPr>
        <w:ind w:left="360"/>
        <w:rPr>
          <w:b/>
        </w:rPr>
      </w:pPr>
      <w:r>
        <w:rPr>
          <w:b/>
        </w:rPr>
        <w:t>c</w:t>
      </w:r>
      <w:r w:rsidRPr="00195D3A">
        <w:rPr>
          <w:b/>
        </w:rPr>
        <w:t xml:space="preserve">. </w:t>
      </w:r>
      <w:proofErr w:type="gramStart"/>
      <w:r w:rsidRPr="00195D3A">
        <w:rPr>
          <w:b/>
        </w:rPr>
        <w:t>trim</w:t>
      </w:r>
      <w:proofErr w:type="gramEnd"/>
      <w:r w:rsidRPr="00195D3A">
        <w:rPr>
          <w:b/>
        </w:rPr>
        <w:t xml:space="preserve"> remaining un-trimmed low-quality regions from ends of reads</w:t>
      </w:r>
    </w:p>
    <w:p w14:paraId="7E125541" w14:textId="77777777" w:rsidR="00195D3A" w:rsidRPr="00195D3A" w:rsidRDefault="00195D3A" w:rsidP="00985C30">
      <w:pPr>
        <w:ind w:left="360"/>
        <w:rPr>
          <w:sz w:val="20"/>
          <w:szCs w:val="20"/>
        </w:rPr>
      </w:pPr>
      <w:proofErr w:type="gramStart"/>
      <w:r w:rsidRPr="00195D3A">
        <w:rPr>
          <w:sz w:val="20"/>
          <w:szCs w:val="20"/>
        </w:rPr>
        <w:t>java</w:t>
      </w:r>
      <w:proofErr w:type="gramEnd"/>
      <w:r w:rsidRPr="00195D3A">
        <w:rPr>
          <w:sz w:val="20"/>
          <w:szCs w:val="20"/>
        </w:rPr>
        <w:t xml:space="preserve"> -jar /</w:t>
      </w:r>
      <w:proofErr w:type="spellStart"/>
      <w:r w:rsidRPr="00195D3A">
        <w:rPr>
          <w:sz w:val="20"/>
          <w:szCs w:val="20"/>
        </w:rPr>
        <w:t>usr</w:t>
      </w:r>
      <w:proofErr w:type="spellEnd"/>
      <w:r w:rsidRPr="00195D3A">
        <w:rPr>
          <w:sz w:val="20"/>
          <w:szCs w:val="20"/>
        </w:rPr>
        <w:t>/local/bin/trimmomatic-0.32.jar SE -phred33 processing/65_R1.fastq processing/65_R1_trimmed.fastq LEADING:20 TRAILING:20 MINLEN:125</w:t>
      </w:r>
    </w:p>
    <w:p w14:paraId="205D887D" w14:textId="77777777" w:rsidR="00195D3A" w:rsidRPr="00195D3A" w:rsidRDefault="00195D3A" w:rsidP="00985C30">
      <w:pPr>
        <w:ind w:left="360"/>
        <w:rPr>
          <w:sz w:val="20"/>
          <w:szCs w:val="20"/>
        </w:rPr>
      </w:pPr>
      <w:proofErr w:type="gramStart"/>
      <w:r w:rsidRPr="00195D3A">
        <w:rPr>
          <w:sz w:val="20"/>
          <w:szCs w:val="20"/>
        </w:rPr>
        <w:t>java</w:t>
      </w:r>
      <w:proofErr w:type="gramEnd"/>
      <w:r w:rsidRPr="00195D3A">
        <w:rPr>
          <w:sz w:val="20"/>
          <w:szCs w:val="20"/>
        </w:rPr>
        <w:t xml:space="preserve"> -jar /</w:t>
      </w:r>
      <w:proofErr w:type="spellStart"/>
      <w:r w:rsidRPr="00195D3A">
        <w:rPr>
          <w:sz w:val="20"/>
          <w:szCs w:val="20"/>
        </w:rPr>
        <w:t>usr</w:t>
      </w:r>
      <w:proofErr w:type="spellEnd"/>
      <w:r w:rsidRPr="00195D3A">
        <w:rPr>
          <w:sz w:val="20"/>
          <w:szCs w:val="20"/>
        </w:rPr>
        <w:t>/local/bin/trimmomatic-0.32.jar SE -phred33 processing/65_R2.fastq processing/65_R2_trimmed.fastq LEADING:20 TRAILING:20 MINLEN:125</w:t>
      </w:r>
    </w:p>
    <w:p w14:paraId="3F49F036" w14:textId="77777777" w:rsidR="00195D3A" w:rsidRDefault="00195D3A" w:rsidP="00985C30">
      <w:pPr>
        <w:ind w:left="360"/>
      </w:pPr>
    </w:p>
    <w:p w14:paraId="1291286D" w14:textId="4DE33900" w:rsidR="00195D3A" w:rsidRPr="00195D3A" w:rsidRDefault="00195D3A" w:rsidP="00985C30">
      <w:pPr>
        <w:ind w:left="360"/>
        <w:rPr>
          <w:b/>
        </w:rPr>
      </w:pPr>
      <w:r>
        <w:rPr>
          <w:b/>
        </w:rPr>
        <w:t>d</w:t>
      </w:r>
      <w:r w:rsidRPr="00195D3A">
        <w:rPr>
          <w:b/>
        </w:rPr>
        <w:t xml:space="preserve">. </w:t>
      </w:r>
      <w:proofErr w:type="gramStart"/>
      <w:r w:rsidRPr="00195D3A">
        <w:rPr>
          <w:b/>
        </w:rPr>
        <w:t>convert</w:t>
      </w:r>
      <w:proofErr w:type="gramEnd"/>
      <w:r w:rsidRPr="00195D3A">
        <w:rPr>
          <w:b/>
        </w:rPr>
        <w:t xml:space="preserve"> </w:t>
      </w:r>
      <w:proofErr w:type="spellStart"/>
      <w:r w:rsidRPr="00195D3A">
        <w:rPr>
          <w:b/>
        </w:rPr>
        <w:t>fastq</w:t>
      </w:r>
      <w:proofErr w:type="spellEnd"/>
      <w:r w:rsidRPr="00195D3A">
        <w:rPr>
          <w:b/>
        </w:rPr>
        <w:t xml:space="preserve"> files to </w:t>
      </w:r>
      <w:proofErr w:type="spellStart"/>
      <w:r w:rsidRPr="00195D3A">
        <w:rPr>
          <w:b/>
        </w:rPr>
        <w:t>fasta</w:t>
      </w:r>
      <w:proofErr w:type="spellEnd"/>
    </w:p>
    <w:p w14:paraId="65C8AB25" w14:textId="77777777" w:rsidR="00195D3A" w:rsidRPr="00195D3A" w:rsidRDefault="00195D3A" w:rsidP="00985C30">
      <w:pPr>
        <w:ind w:left="360"/>
        <w:rPr>
          <w:sz w:val="20"/>
          <w:szCs w:val="20"/>
        </w:rPr>
      </w:pPr>
      <w:proofErr w:type="spellStart"/>
      <w:proofErr w:type="gramStart"/>
      <w:r w:rsidRPr="00195D3A">
        <w:rPr>
          <w:sz w:val="20"/>
          <w:szCs w:val="20"/>
        </w:rPr>
        <w:t>mothur</w:t>
      </w:r>
      <w:proofErr w:type="spellEnd"/>
      <w:proofErr w:type="gramEnd"/>
    </w:p>
    <w:p w14:paraId="5E5AAA91" w14:textId="77777777" w:rsidR="00195D3A" w:rsidRPr="00195D3A" w:rsidRDefault="00195D3A" w:rsidP="00985C30">
      <w:pPr>
        <w:ind w:left="360"/>
        <w:rPr>
          <w:sz w:val="20"/>
          <w:szCs w:val="20"/>
        </w:rPr>
      </w:pPr>
      <w:proofErr w:type="gramStart"/>
      <w:r w:rsidRPr="00195D3A">
        <w:rPr>
          <w:sz w:val="20"/>
          <w:szCs w:val="20"/>
        </w:rPr>
        <w:t>fastq.info</w:t>
      </w:r>
      <w:proofErr w:type="gramEnd"/>
      <w:r w:rsidRPr="00195D3A">
        <w:rPr>
          <w:sz w:val="20"/>
          <w:szCs w:val="20"/>
        </w:rPr>
        <w:t>(fastq=/Users/nhu/Desktop/Research/IDENT/general_processed/processing/65_R1_trimmed.fastq)</w:t>
      </w:r>
    </w:p>
    <w:p w14:paraId="574E6DBE" w14:textId="77777777" w:rsidR="00195D3A" w:rsidRPr="00195D3A" w:rsidRDefault="00195D3A" w:rsidP="00985C30">
      <w:pPr>
        <w:ind w:left="360"/>
        <w:rPr>
          <w:sz w:val="20"/>
          <w:szCs w:val="20"/>
        </w:rPr>
      </w:pPr>
      <w:proofErr w:type="gramStart"/>
      <w:r w:rsidRPr="00195D3A">
        <w:rPr>
          <w:sz w:val="20"/>
          <w:szCs w:val="20"/>
        </w:rPr>
        <w:t>fastq.info</w:t>
      </w:r>
      <w:proofErr w:type="gramEnd"/>
      <w:r w:rsidRPr="00195D3A">
        <w:rPr>
          <w:sz w:val="20"/>
          <w:szCs w:val="20"/>
        </w:rPr>
        <w:t>(fastq=/Users/nhu/Desktop/Research/IDENT/general_processed/processing/65_R2_trimmed.fastq)</w:t>
      </w:r>
    </w:p>
    <w:p w14:paraId="76D4EF88" w14:textId="77777777" w:rsidR="00195D3A" w:rsidRDefault="00195D3A" w:rsidP="000C08D8">
      <w:pPr>
        <w:ind w:left="360"/>
        <w:jc w:val="both"/>
      </w:pPr>
    </w:p>
    <w:p w14:paraId="61F6289E" w14:textId="488A48C2" w:rsidR="00195D3A" w:rsidRPr="00195D3A" w:rsidRDefault="00195D3A" w:rsidP="000C08D8">
      <w:pPr>
        <w:ind w:left="360"/>
        <w:jc w:val="both"/>
        <w:rPr>
          <w:b/>
        </w:rPr>
      </w:pPr>
      <w:r w:rsidRPr="00195D3A">
        <w:rPr>
          <w:b/>
        </w:rPr>
        <w:t xml:space="preserve">e. </w:t>
      </w:r>
      <w:proofErr w:type="gramStart"/>
      <w:r w:rsidRPr="00195D3A">
        <w:rPr>
          <w:b/>
        </w:rPr>
        <w:t>filter</w:t>
      </w:r>
      <w:proofErr w:type="gramEnd"/>
      <w:r w:rsidRPr="00195D3A">
        <w:rPr>
          <w:b/>
        </w:rPr>
        <w:t xml:space="preserve"> out short </w:t>
      </w:r>
      <w:proofErr w:type="spellStart"/>
      <w:r w:rsidRPr="00195D3A">
        <w:rPr>
          <w:b/>
        </w:rPr>
        <w:t>seqs</w:t>
      </w:r>
      <w:proofErr w:type="spellEnd"/>
      <w:r w:rsidRPr="00195D3A">
        <w:rPr>
          <w:b/>
        </w:rPr>
        <w:t xml:space="preserve"> and ones with ambiguous bases</w:t>
      </w:r>
    </w:p>
    <w:p w14:paraId="3B812B1D" w14:textId="77777777" w:rsidR="00195D3A" w:rsidRPr="00195D3A" w:rsidRDefault="00195D3A" w:rsidP="000C08D8">
      <w:pPr>
        <w:ind w:left="360"/>
        <w:jc w:val="both"/>
        <w:rPr>
          <w:sz w:val="20"/>
          <w:szCs w:val="20"/>
        </w:rPr>
      </w:pPr>
      <w:proofErr w:type="spellStart"/>
      <w:proofErr w:type="gramStart"/>
      <w:r w:rsidRPr="00195D3A">
        <w:rPr>
          <w:sz w:val="20"/>
          <w:szCs w:val="20"/>
        </w:rPr>
        <w:t>mothur</w:t>
      </w:r>
      <w:proofErr w:type="spellEnd"/>
      <w:proofErr w:type="gramEnd"/>
    </w:p>
    <w:p w14:paraId="655FB8B9" w14:textId="77777777" w:rsidR="00195D3A" w:rsidRPr="00195D3A" w:rsidRDefault="00195D3A" w:rsidP="000C08D8">
      <w:pPr>
        <w:ind w:left="360"/>
        <w:jc w:val="both"/>
        <w:rPr>
          <w:sz w:val="20"/>
          <w:szCs w:val="20"/>
        </w:rPr>
      </w:pPr>
      <w:proofErr w:type="spellStart"/>
      <w:proofErr w:type="gramStart"/>
      <w:r w:rsidRPr="00195D3A">
        <w:rPr>
          <w:sz w:val="20"/>
          <w:szCs w:val="20"/>
        </w:rPr>
        <w:t>screen.seqs</w:t>
      </w:r>
      <w:proofErr w:type="spellEnd"/>
      <w:proofErr w:type="gramEnd"/>
      <w:r w:rsidRPr="00195D3A">
        <w:rPr>
          <w:sz w:val="20"/>
          <w:szCs w:val="20"/>
        </w:rPr>
        <w:t xml:space="preserve">(fasta=/Users/nhu/Desktop/Research/IDENT/general_processed/processing/65_R1_trimmed.fasta, </w:t>
      </w:r>
      <w:proofErr w:type="spellStart"/>
      <w:r w:rsidRPr="00195D3A">
        <w:rPr>
          <w:sz w:val="20"/>
          <w:szCs w:val="20"/>
        </w:rPr>
        <w:t>maxambig</w:t>
      </w:r>
      <w:proofErr w:type="spellEnd"/>
      <w:r w:rsidRPr="00195D3A">
        <w:rPr>
          <w:sz w:val="20"/>
          <w:szCs w:val="20"/>
        </w:rPr>
        <w:t xml:space="preserve">=0, </w:t>
      </w:r>
      <w:proofErr w:type="spellStart"/>
      <w:r w:rsidRPr="00195D3A">
        <w:rPr>
          <w:sz w:val="20"/>
          <w:szCs w:val="20"/>
        </w:rPr>
        <w:t>minlength</w:t>
      </w:r>
      <w:proofErr w:type="spellEnd"/>
      <w:r w:rsidRPr="00195D3A">
        <w:rPr>
          <w:sz w:val="20"/>
          <w:szCs w:val="20"/>
        </w:rPr>
        <w:t xml:space="preserve">=125, </w:t>
      </w:r>
      <w:proofErr w:type="spellStart"/>
      <w:r w:rsidRPr="00195D3A">
        <w:rPr>
          <w:sz w:val="20"/>
          <w:szCs w:val="20"/>
        </w:rPr>
        <w:t>maxhomop</w:t>
      </w:r>
      <w:proofErr w:type="spellEnd"/>
      <w:r w:rsidRPr="00195D3A">
        <w:rPr>
          <w:sz w:val="20"/>
          <w:szCs w:val="20"/>
        </w:rPr>
        <w:t>=9, processors=2)</w:t>
      </w:r>
    </w:p>
    <w:p w14:paraId="243E6C19" w14:textId="77777777" w:rsidR="00195D3A" w:rsidRPr="00195D3A" w:rsidRDefault="00195D3A" w:rsidP="000C08D8">
      <w:pPr>
        <w:ind w:left="360"/>
        <w:jc w:val="both"/>
        <w:rPr>
          <w:sz w:val="20"/>
          <w:szCs w:val="20"/>
        </w:rPr>
      </w:pPr>
      <w:proofErr w:type="spellStart"/>
      <w:proofErr w:type="gramStart"/>
      <w:r w:rsidRPr="00195D3A">
        <w:rPr>
          <w:sz w:val="20"/>
          <w:szCs w:val="20"/>
        </w:rPr>
        <w:t>screen.seqs</w:t>
      </w:r>
      <w:proofErr w:type="spellEnd"/>
      <w:proofErr w:type="gramEnd"/>
      <w:r w:rsidRPr="00195D3A">
        <w:rPr>
          <w:sz w:val="20"/>
          <w:szCs w:val="20"/>
        </w:rPr>
        <w:t xml:space="preserve">(fasta=/Users/nhu/Desktop/Research/IDENT/general_processed/processing/65_R2_trimmed.fasta, </w:t>
      </w:r>
      <w:proofErr w:type="spellStart"/>
      <w:r w:rsidRPr="00195D3A">
        <w:rPr>
          <w:sz w:val="20"/>
          <w:szCs w:val="20"/>
        </w:rPr>
        <w:t>maxambig</w:t>
      </w:r>
      <w:proofErr w:type="spellEnd"/>
      <w:r w:rsidRPr="00195D3A">
        <w:rPr>
          <w:sz w:val="20"/>
          <w:szCs w:val="20"/>
        </w:rPr>
        <w:t xml:space="preserve">=0, </w:t>
      </w:r>
      <w:proofErr w:type="spellStart"/>
      <w:r w:rsidRPr="00195D3A">
        <w:rPr>
          <w:sz w:val="20"/>
          <w:szCs w:val="20"/>
        </w:rPr>
        <w:t>minlength</w:t>
      </w:r>
      <w:proofErr w:type="spellEnd"/>
      <w:r w:rsidRPr="00195D3A">
        <w:rPr>
          <w:sz w:val="20"/>
          <w:szCs w:val="20"/>
        </w:rPr>
        <w:t xml:space="preserve">=125, </w:t>
      </w:r>
      <w:proofErr w:type="spellStart"/>
      <w:r w:rsidRPr="00195D3A">
        <w:rPr>
          <w:sz w:val="20"/>
          <w:szCs w:val="20"/>
        </w:rPr>
        <w:t>maxhomop</w:t>
      </w:r>
      <w:proofErr w:type="spellEnd"/>
      <w:r w:rsidRPr="00195D3A">
        <w:rPr>
          <w:sz w:val="20"/>
          <w:szCs w:val="20"/>
        </w:rPr>
        <w:t>=9, processors=2)</w:t>
      </w:r>
    </w:p>
    <w:p w14:paraId="09C5BB39" w14:textId="77777777" w:rsidR="00195D3A" w:rsidRDefault="00195D3A" w:rsidP="000C08D8">
      <w:pPr>
        <w:ind w:left="360"/>
        <w:jc w:val="both"/>
      </w:pPr>
    </w:p>
    <w:p w14:paraId="01AC3FC5" w14:textId="7552C1E4" w:rsidR="00195D3A" w:rsidRPr="00195D3A" w:rsidRDefault="00195D3A" w:rsidP="000C08D8">
      <w:pPr>
        <w:ind w:left="360"/>
        <w:jc w:val="both"/>
        <w:rPr>
          <w:b/>
        </w:rPr>
      </w:pPr>
      <w:r w:rsidRPr="00195D3A">
        <w:rPr>
          <w:b/>
        </w:rPr>
        <w:t>f. Adding QIIME labels and combining all sequences into 1 file</w:t>
      </w:r>
    </w:p>
    <w:p w14:paraId="481715AC" w14:textId="66570AA6" w:rsidR="00195D3A" w:rsidRDefault="00195D3A" w:rsidP="000C08D8">
      <w:pPr>
        <w:ind w:left="360"/>
        <w:jc w:val="both"/>
      </w:pPr>
      <w:r>
        <w:t>This code will process all files within a directory and concatenate them into a single file.</w:t>
      </w:r>
    </w:p>
    <w:p w14:paraId="38A74EAA" w14:textId="34406FC7" w:rsidR="00195D3A" w:rsidRDefault="00195D3A" w:rsidP="000C08D8">
      <w:pPr>
        <w:ind w:left="360"/>
        <w:jc w:val="both"/>
      </w:pPr>
      <w:r>
        <w:t xml:space="preserve">Put all of your filtered </w:t>
      </w:r>
      <w:proofErr w:type="spellStart"/>
      <w:r>
        <w:t>fasta</w:t>
      </w:r>
      <w:proofErr w:type="spellEnd"/>
      <w:r>
        <w:t xml:space="preserve"> files into 1 directory before running the script</w:t>
      </w:r>
    </w:p>
    <w:p w14:paraId="05819ED0" w14:textId="77777777" w:rsidR="00195D3A" w:rsidRDefault="00195D3A" w:rsidP="000C08D8">
      <w:pPr>
        <w:ind w:left="360"/>
        <w:jc w:val="both"/>
      </w:pPr>
      <w:r>
        <w:t>-</w:t>
      </w:r>
      <w:proofErr w:type="gramStart"/>
      <w:r>
        <w:t>c</w:t>
      </w:r>
      <w:proofErr w:type="gramEnd"/>
      <w:r>
        <w:t xml:space="preserve"> is a column in the mapping file which tells QIIME to connect that file to the sample ID</w:t>
      </w:r>
    </w:p>
    <w:p w14:paraId="58B636E0" w14:textId="77777777" w:rsidR="00195D3A" w:rsidRPr="00195D3A" w:rsidRDefault="00195D3A" w:rsidP="000C08D8">
      <w:pPr>
        <w:ind w:left="360"/>
        <w:jc w:val="both"/>
        <w:rPr>
          <w:sz w:val="20"/>
          <w:szCs w:val="20"/>
        </w:rPr>
      </w:pPr>
      <w:proofErr w:type="gramStart"/>
      <w:r w:rsidRPr="00195D3A">
        <w:rPr>
          <w:sz w:val="20"/>
          <w:szCs w:val="20"/>
        </w:rPr>
        <w:t>add</w:t>
      </w:r>
      <w:proofErr w:type="gramEnd"/>
      <w:r w:rsidRPr="00195D3A">
        <w:rPr>
          <w:sz w:val="20"/>
          <w:szCs w:val="20"/>
        </w:rPr>
        <w:t>_qiime_labels.py -</w:t>
      </w:r>
      <w:proofErr w:type="spellStart"/>
      <w:r w:rsidRPr="00195D3A">
        <w:rPr>
          <w:sz w:val="20"/>
          <w:szCs w:val="20"/>
        </w:rPr>
        <w:t>i</w:t>
      </w:r>
      <w:proofErr w:type="spellEnd"/>
      <w:r w:rsidRPr="00195D3A">
        <w:rPr>
          <w:sz w:val="20"/>
          <w:szCs w:val="20"/>
        </w:rPr>
        <w:t xml:space="preserve"> processed/ -m alnus_mapping.txt -c </w:t>
      </w:r>
      <w:proofErr w:type="spellStart"/>
      <w:r w:rsidRPr="00195D3A">
        <w:rPr>
          <w:sz w:val="20"/>
          <w:szCs w:val="20"/>
        </w:rPr>
        <w:t>InputFileName</w:t>
      </w:r>
      <w:proofErr w:type="spellEnd"/>
      <w:r w:rsidRPr="00195D3A">
        <w:rPr>
          <w:sz w:val="20"/>
          <w:szCs w:val="20"/>
        </w:rPr>
        <w:t xml:space="preserve"> -o processed/</w:t>
      </w:r>
    </w:p>
    <w:p w14:paraId="4D7571AB" w14:textId="77777777" w:rsidR="00D17457" w:rsidRDefault="00D17457" w:rsidP="000C08D8">
      <w:pPr>
        <w:jc w:val="both"/>
      </w:pPr>
    </w:p>
    <w:p w14:paraId="2D968E14" w14:textId="2FB6EB43" w:rsidR="00D17457" w:rsidRPr="00BC763F" w:rsidRDefault="00D17457" w:rsidP="000C08D8">
      <w:pPr>
        <w:pStyle w:val="ListParagraph"/>
        <w:numPr>
          <w:ilvl w:val="0"/>
          <w:numId w:val="6"/>
        </w:numPr>
        <w:ind w:left="360"/>
        <w:jc w:val="both"/>
        <w:rPr>
          <w:b/>
          <w:i/>
        </w:rPr>
      </w:pPr>
      <w:r w:rsidRPr="00BC763F">
        <w:rPr>
          <w:b/>
          <w:i/>
        </w:rPr>
        <w:t>Downstream processing and analyses</w:t>
      </w:r>
    </w:p>
    <w:p w14:paraId="13E6EAB7" w14:textId="77777777" w:rsidR="00BC763F" w:rsidRDefault="00BC763F" w:rsidP="000C08D8">
      <w:pPr>
        <w:ind w:left="360"/>
        <w:jc w:val="both"/>
      </w:pPr>
      <w:r>
        <w:t xml:space="preserve">We prefer to use QIIME for the rest of the steps such as clustering OTUs, identifying the sequences, creating alpha and beta diversity plots, statistical contrasts, </w:t>
      </w:r>
      <w:proofErr w:type="spellStart"/>
      <w:r>
        <w:t>etc</w:t>
      </w:r>
      <w:proofErr w:type="spellEnd"/>
      <w:r>
        <w:t>…</w:t>
      </w:r>
    </w:p>
    <w:p w14:paraId="1CC72EB2" w14:textId="77777777" w:rsidR="00BC763F" w:rsidRDefault="00BC763F" w:rsidP="000C08D8">
      <w:pPr>
        <w:ind w:left="360"/>
        <w:jc w:val="both"/>
      </w:pPr>
    </w:p>
    <w:p w14:paraId="20572FB1" w14:textId="77777777" w:rsidR="00BC763F" w:rsidRDefault="00BC763F" w:rsidP="000C08D8">
      <w:pPr>
        <w:ind w:left="360"/>
        <w:jc w:val="both"/>
      </w:pPr>
      <w:r>
        <w:t>Learn QIIME by starting with the standard tutorial, then applying it to fungal sequences.</w:t>
      </w:r>
    </w:p>
    <w:p w14:paraId="4BCD68A6" w14:textId="77777777" w:rsidR="00BC763F" w:rsidRPr="00FC681E" w:rsidRDefault="00783097" w:rsidP="000C08D8">
      <w:pPr>
        <w:ind w:left="360"/>
        <w:jc w:val="both"/>
      </w:pPr>
      <w:hyperlink r:id="rId18" w:history="1">
        <w:r w:rsidR="00BC763F" w:rsidRPr="00604C48">
          <w:rPr>
            <w:rStyle w:val="Hyperlink"/>
          </w:rPr>
          <w:t>http://qiime.org/tutorials/</w:t>
        </w:r>
      </w:hyperlink>
    </w:p>
    <w:p w14:paraId="38E494B8" w14:textId="77777777" w:rsidR="00BC763F" w:rsidRDefault="00BC763F" w:rsidP="000C08D8">
      <w:pPr>
        <w:pStyle w:val="ListParagraph"/>
        <w:ind w:left="360"/>
        <w:jc w:val="both"/>
      </w:pPr>
    </w:p>
    <w:p w14:paraId="1855F439" w14:textId="37C362CE" w:rsidR="00195D3A" w:rsidRDefault="00195D3A" w:rsidP="00A73326">
      <w:pPr>
        <w:pStyle w:val="ListParagraph"/>
        <w:ind w:left="360"/>
      </w:pPr>
      <w:r>
        <w:t xml:space="preserve">We suggest that prior to the OTU picking, you perform a </w:t>
      </w:r>
      <w:proofErr w:type="spellStart"/>
      <w:r>
        <w:t>prefilter</w:t>
      </w:r>
      <w:proofErr w:type="spellEnd"/>
      <w:r>
        <w:t xml:space="preserve"> to get rid of non-target sequences. This is done through the script “</w:t>
      </w:r>
      <w:r w:rsidR="00A44E54" w:rsidRPr="00A44E54">
        <w:t>parallel_pick_otus_uclust_ref.py</w:t>
      </w:r>
      <w:r w:rsidR="00A44E54">
        <w:t xml:space="preserve">”, clustering at 0.60, and using the </w:t>
      </w:r>
      <w:r w:rsidR="00E3241D">
        <w:t xml:space="preserve">latest </w:t>
      </w:r>
      <w:r w:rsidR="00A44E54">
        <w:t>UNITE database (with singletons) as a reference.</w:t>
      </w:r>
    </w:p>
    <w:p w14:paraId="0FFACDF0" w14:textId="77777777" w:rsidR="00A44E54" w:rsidRDefault="00A44E54" w:rsidP="000C08D8">
      <w:pPr>
        <w:pStyle w:val="ListParagraph"/>
        <w:ind w:left="360"/>
        <w:jc w:val="both"/>
      </w:pPr>
    </w:p>
    <w:p w14:paraId="23BB1C9F" w14:textId="0327A6AD" w:rsidR="00A44E54" w:rsidRDefault="00A44E54" w:rsidP="000C08D8">
      <w:pPr>
        <w:pStyle w:val="ListParagraph"/>
        <w:ind w:left="360"/>
        <w:jc w:val="both"/>
      </w:pPr>
      <w:r>
        <w:t xml:space="preserve">OTU picking is a crucial step to producing a good OTU table that is more representative of your community. There is much debate about the best method but there are pros and cons to each method. We have chosen to use a two-step clustering method </w:t>
      </w:r>
      <w:r w:rsidR="00E3241D">
        <w:t xml:space="preserve">first </w:t>
      </w:r>
      <w:r w:rsidR="00A73326">
        <w:t xml:space="preserve">using USEARCH, </w:t>
      </w:r>
      <w:proofErr w:type="gramStart"/>
      <w:r>
        <w:t>then</w:t>
      </w:r>
      <w:proofErr w:type="gramEnd"/>
      <w:r>
        <w:t xml:space="preserve"> passing the results from the USEARCH clustering to UCLUST</w:t>
      </w:r>
      <w:r w:rsidR="00365DE8">
        <w:t xml:space="preserve"> to cluster OTUs that did not cluster in the first USEARCH step (see </w:t>
      </w:r>
      <w:hyperlink r:id="rId19" w:history="1">
        <w:r w:rsidR="00365DE8" w:rsidRPr="00365DE8">
          <w:rPr>
            <w:rStyle w:val="Hyperlink"/>
          </w:rPr>
          <w:t>Nguyen et al. 2015</w:t>
        </w:r>
      </w:hyperlink>
      <w:r w:rsidR="00365DE8">
        <w:t>)</w:t>
      </w:r>
      <w:r>
        <w:t xml:space="preserve">. </w:t>
      </w:r>
      <w:r w:rsidR="00E3241D">
        <w:t xml:space="preserve"> The second step helps to collapse the OTUs that could not be collapsed in the first pass.</w:t>
      </w:r>
      <w:r w:rsidR="00365DE8">
        <w:t xml:space="preserve"> UPARSE may also be use and VSEARCH (the open source version of USEARCH) are also other pieces of software to consider. We DO NOT recommend using just UCLUST alone because many papers now document OTU inflation </w:t>
      </w:r>
    </w:p>
    <w:p w14:paraId="60FFD216" w14:textId="77777777" w:rsidR="00195D3A" w:rsidRDefault="00195D3A" w:rsidP="000C08D8">
      <w:pPr>
        <w:pStyle w:val="ListParagraph"/>
        <w:ind w:left="360"/>
        <w:jc w:val="both"/>
      </w:pPr>
    </w:p>
    <w:p w14:paraId="6CD270E8" w14:textId="5E7D5495" w:rsidR="00BC763F" w:rsidRPr="00BC763F" w:rsidRDefault="00E3241D" w:rsidP="000C08D8">
      <w:pPr>
        <w:pStyle w:val="ListParagraph"/>
        <w:numPr>
          <w:ilvl w:val="0"/>
          <w:numId w:val="6"/>
        </w:numPr>
        <w:ind w:left="360"/>
        <w:jc w:val="both"/>
        <w:rPr>
          <w:b/>
          <w:i/>
        </w:rPr>
      </w:pPr>
      <w:r>
        <w:rPr>
          <w:b/>
          <w:i/>
        </w:rPr>
        <w:t>OTU</w:t>
      </w:r>
      <w:r w:rsidR="00BC763F" w:rsidRPr="00BC763F">
        <w:rPr>
          <w:b/>
          <w:i/>
        </w:rPr>
        <w:t xml:space="preserve"> identification for </w:t>
      </w:r>
      <w:r w:rsidR="00BC763F">
        <w:rPr>
          <w:b/>
          <w:i/>
        </w:rPr>
        <w:t>fungal studies</w:t>
      </w:r>
    </w:p>
    <w:p w14:paraId="3433A88C" w14:textId="759BFC03" w:rsidR="00221598" w:rsidRDefault="00BC763F" w:rsidP="00221598">
      <w:pPr>
        <w:pStyle w:val="ListParagraph"/>
        <w:ind w:left="360"/>
        <w:jc w:val="both"/>
      </w:pPr>
      <w:r>
        <w:t xml:space="preserve">We use </w:t>
      </w:r>
      <w:r w:rsidR="00221598">
        <w:t xml:space="preserve">local </w:t>
      </w:r>
      <w:r>
        <w:t xml:space="preserve">BLAST as the standard for sequence identification. </w:t>
      </w:r>
      <w:r w:rsidR="00221598">
        <w:t xml:space="preserve">The UNITE fungal ITS database is currently the best-curated database for high throughput studies of fungi. It is updated several times a </w:t>
      </w:r>
      <w:proofErr w:type="gramStart"/>
      <w:r w:rsidR="00221598">
        <w:t>year,</w:t>
      </w:r>
      <w:proofErr w:type="gramEnd"/>
      <w:r w:rsidR="00221598">
        <w:t xml:space="preserve"> so it is best to update </w:t>
      </w:r>
      <w:r w:rsidR="00A73326">
        <w:t>your</w:t>
      </w:r>
      <w:r w:rsidR="00221598">
        <w:t xml:space="preserve"> local BLAST database using the latest UNITE release.</w:t>
      </w:r>
    </w:p>
    <w:p w14:paraId="25D8ABE0" w14:textId="77777777" w:rsidR="00221598" w:rsidRDefault="00221598" w:rsidP="00221598">
      <w:pPr>
        <w:pStyle w:val="ListParagraph"/>
        <w:ind w:left="360"/>
        <w:jc w:val="both"/>
      </w:pPr>
    </w:p>
    <w:p w14:paraId="044686D9" w14:textId="599B87E2" w:rsidR="00221598" w:rsidRDefault="00221598" w:rsidP="00221598">
      <w:pPr>
        <w:pStyle w:val="ListParagraph"/>
        <w:ind w:left="360"/>
        <w:jc w:val="both"/>
      </w:pPr>
      <w:r>
        <w:t>Local BLAST allows enough flexibility to remove OTUs that do not match to anything in the database (probably a by-product of PCR) and allows cleaning of sequences that have only a tiny portion of actual fungal sequences. We typically remove any sequences that have the length/query length of &lt; 0.85 (85% of the query sequence matches to a database sequence). Some studies consider as high of a ratio as 0.90.</w:t>
      </w:r>
    </w:p>
    <w:p w14:paraId="06A7D0C9" w14:textId="77777777" w:rsidR="00E1274A" w:rsidRDefault="00E1274A" w:rsidP="000C08D8">
      <w:pPr>
        <w:pStyle w:val="ListParagraph"/>
        <w:ind w:left="360"/>
        <w:jc w:val="both"/>
      </w:pPr>
    </w:p>
    <w:p w14:paraId="5BF778B2" w14:textId="544BC47E" w:rsidR="00E1274A" w:rsidRPr="00BC763F" w:rsidRDefault="00E1274A" w:rsidP="000C08D8">
      <w:pPr>
        <w:pStyle w:val="ListParagraph"/>
        <w:numPr>
          <w:ilvl w:val="0"/>
          <w:numId w:val="6"/>
        </w:numPr>
        <w:ind w:left="360"/>
        <w:jc w:val="both"/>
        <w:rPr>
          <w:b/>
          <w:i/>
        </w:rPr>
      </w:pPr>
      <w:r>
        <w:rPr>
          <w:b/>
          <w:i/>
        </w:rPr>
        <w:t xml:space="preserve">Parsing out </w:t>
      </w:r>
      <w:r w:rsidR="00221598">
        <w:rPr>
          <w:b/>
          <w:i/>
        </w:rPr>
        <w:t>fungal guilds</w:t>
      </w:r>
    </w:p>
    <w:p w14:paraId="09614BE6" w14:textId="27A30877" w:rsidR="00221598" w:rsidRDefault="00221598" w:rsidP="000C08D8">
      <w:pPr>
        <w:ind w:left="360"/>
        <w:jc w:val="both"/>
      </w:pPr>
      <w:r>
        <w:t xml:space="preserve">We created the </w:t>
      </w:r>
      <w:proofErr w:type="spellStart"/>
      <w:r>
        <w:t>FUNGuild</w:t>
      </w:r>
      <w:proofErr w:type="spellEnd"/>
      <w:r>
        <w:t xml:space="preserve"> database along with a python script that will parse processed high-throughput sequencing OTUs into ecological (tr</w:t>
      </w:r>
      <w:r w:rsidR="00B54DEF">
        <w:t xml:space="preserve">ophic) guilds. The script and database, along with an instruction manual can be found on </w:t>
      </w:r>
      <w:proofErr w:type="spellStart"/>
      <w:r w:rsidR="00B54DEF">
        <w:t>GitHub</w:t>
      </w:r>
      <w:proofErr w:type="spellEnd"/>
      <w:r w:rsidR="00B54DEF">
        <w:t xml:space="preserve"> (</w:t>
      </w:r>
      <w:r w:rsidR="00B54DEF" w:rsidRPr="00B54DEF">
        <w:t>https://github.com/UMNFuN/FUNGuild</w:t>
      </w:r>
      <w:r w:rsidR="00B54DEF">
        <w:t>). Our manuscript is currently in review.</w:t>
      </w:r>
    </w:p>
    <w:p w14:paraId="79BE020B" w14:textId="77777777" w:rsidR="00221598" w:rsidRDefault="00221598" w:rsidP="000C08D8">
      <w:pPr>
        <w:ind w:left="360"/>
        <w:jc w:val="both"/>
      </w:pPr>
    </w:p>
    <w:p w14:paraId="51DB99BD" w14:textId="77777777" w:rsidR="00B54DEF" w:rsidRDefault="00B54DEF" w:rsidP="000C08D8">
      <w:pPr>
        <w:ind w:left="360"/>
        <w:jc w:val="both"/>
      </w:pPr>
    </w:p>
    <w:p w14:paraId="70CBF4F7" w14:textId="21B5D992" w:rsidR="00B51C99" w:rsidRPr="00B54DEF" w:rsidRDefault="001E42AE" w:rsidP="00B51C99">
      <w:pPr>
        <w:ind w:left="360"/>
        <w:jc w:val="both"/>
        <w:rPr>
          <w:b/>
          <w:sz w:val="28"/>
          <w:szCs w:val="28"/>
        </w:rPr>
      </w:pPr>
      <w:r w:rsidRPr="00B54DEF">
        <w:rPr>
          <w:b/>
          <w:sz w:val="28"/>
          <w:szCs w:val="28"/>
        </w:rPr>
        <w:t xml:space="preserve">IV. </w:t>
      </w:r>
      <w:r w:rsidR="00B51C99" w:rsidRPr="00B54DEF">
        <w:rPr>
          <w:b/>
          <w:sz w:val="28"/>
          <w:szCs w:val="28"/>
        </w:rPr>
        <w:t>References</w:t>
      </w:r>
      <w:r w:rsidR="000A0986">
        <w:rPr>
          <w:b/>
          <w:sz w:val="28"/>
          <w:szCs w:val="28"/>
        </w:rPr>
        <w:t xml:space="preserve"> (how to cite this protocol)</w:t>
      </w:r>
    </w:p>
    <w:p w14:paraId="3934D46C" w14:textId="1372E529" w:rsidR="00B51C99" w:rsidRDefault="00B51C99" w:rsidP="00A73326">
      <w:pPr>
        <w:ind w:left="360"/>
        <w:divId w:val="1060128225"/>
        <w:rPr>
          <w:rFonts w:cs="Arial"/>
        </w:rPr>
      </w:pPr>
      <w:r w:rsidRPr="00A73326">
        <w:fldChar w:fldCharType="begin" w:fldLock="1"/>
      </w:r>
      <w:r w:rsidRPr="00A73326">
        <w:instrText xml:space="preserve">ADDIN Mendeley Bibliography CSL_BIBLIOGRAPHY </w:instrText>
      </w:r>
      <w:r w:rsidRPr="00A73326">
        <w:fldChar w:fldCharType="separate"/>
      </w:r>
      <w:r w:rsidRPr="00A73326">
        <w:rPr>
          <w:noProof/>
        </w:rPr>
        <w:t>Nguyen, N. H., Smith, D. P., Peay, K. G</w:t>
      </w:r>
      <w:r w:rsidR="002E0CE2" w:rsidRPr="00A73326">
        <w:rPr>
          <w:noProof/>
        </w:rPr>
        <w:t>., &amp; Kennedy, P. G. (2015</w:t>
      </w:r>
      <w:r w:rsidRPr="00A73326">
        <w:rPr>
          <w:noProof/>
        </w:rPr>
        <w:t xml:space="preserve">). Parsing ecological signal from noise in next generation amplicon sequencing. </w:t>
      </w:r>
      <w:r w:rsidRPr="00A73326">
        <w:rPr>
          <w:i/>
          <w:iCs/>
          <w:noProof/>
        </w:rPr>
        <w:t>New Phytologist</w:t>
      </w:r>
      <w:r w:rsidR="002E0CE2" w:rsidRPr="00A73326">
        <w:rPr>
          <w:noProof/>
        </w:rPr>
        <w:t xml:space="preserve"> 205:1389-1393. </w:t>
      </w:r>
      <w:r w:rsidRPr="00A73326">
        <w:rPr>
          <w:rFonts w:cs="Arial"/>
        </w:rPr>
        <w:t>DOI: 10.1111/nph.12923</w:t>
      </w:r>
    </w:p>
    <w:p w14:paraId="4E932E76" w14:textId="77777777" w:rsidR="00A73326" w:rsidRPr="00A73326" w:rsidRDefault="00A73326" w:rsidP="00A73326">
      <w:pPr>
        <w:ind w:left="360"/>
        <w:divId w:val="1060128225"/>
        <w:rPr>
          <w:noProof/>
        </w:rPr>
      </w:pPr>
    </w:p>
    <w:p w14:paraId="2331F91D" w14:textId="4B849A4D" w:rsidR="00A73326" w:rsidRPr="00A73326" w:rsidRDefault="00A73326" w:rsidP="00A73326">
      <w:pPr>
        <w:ind w:left="360"/>
        <w:divId w:val="1060128225"/>
        <w:rPr>
          <w:b/>
          <w:noProof/>
        </w:rPr>
      </w:pPr>
      <w:r w:rsidRPr="00A73326">
        <w:rPr>
          <w:b/>
          <w:noProof/>
        </w:rPr>
        <w:t>Other papers to look at:</w:t>
      </w:r>
    </w:p>
    <w:p w14:paraId="678660ED" w14:textId="4BE878B2" w:rsidR="00A73326" w:rsidRPr="00A73326" w:rsidRDefault="00A73326" w:rsidP="00A73326">
      <w:pPr>
        <w:ind w:left="360"/>
        <w:divId w:val="1060128225"/>
        <w:rPr>
          <w:rFonts w:ascii="Times" w:hAnsi="Times" w:cs="Times New Roman"/>
        </w:rPr>
      </w:pPr>
      <w:proofErr w:type="spellStart"/>
      <w:proofErr w:type="gramStart"/>
      <w:r w:rsidRPr="00A73326">
        <w:rPr>
          <w:rFonts w:ascii="Times" w:hAnsi="Times" w:cs="Times New Roman"/>
        </w:rPr>
        <w:t>Branco</w:t>
      </w:r>
      <w:proofErr w:type="spellEnd"/>
      <w:r w:rsidRPr="00A73326">
        <w:rPr>
          <w:rFonts w:ascii="Times" w:hAnsi="Times" w:cs="Times New Roman"/>
        </w:rPr>
        <w:t xml:space="preserve">, S., </w:t>
      </w:r>
      <w:proofErr w:type="spellStart"/>
      <w:r w:rsidRPr="00A73326">
        <w:rPr>
          <w:rFonts w:ascii="Times" w:hAnsi="Times" w:cs="Times New Roman"/>
        </w:rPr>
        <w:t>Bruns</w:t>
      </w:r>
      <w:proofErr w:type="spellEnd"/>
      <w:r w:rsidRPr="00A73326">
        <w:rPr>
          <w:rFonts w:ascii="Times" w:hAnsi="Times" w:cs="Times New Roman"/>
        </w:rPr>
        <w:t>, T.D., Singleton, I., 2013.</w:t>
      </w:r>
      <w:proofErr w:type="gramEnd"/>
      <w:r w:rsidRPr="00A73326">
        <w:rPr>
          <w:rFonts w:ascii="Times" w:hAnsi="Times" w:cs="Times New Roman"/>
        </w:rPr>
        <w:t xml:space="preserve"> Fungi at a small scale: spatial zonation of fungal assemblages around single trees. </w:t>
      </w:r>
      <w:proofErr w:type="spellStart"/>
      <w:r w:rsidRPr="00A73326">
        <w:rPr>
          <w:rFonts w:ascii="Times" w:hAnsi="Times" w:cs="Times New Roman"/>
        </w:rPr>
        <w:t>PLoS</w:t>
      </w:r>
      <w:proofErr w:type="spellEnd"/>
      <w:r w:rsidRPr="00A73326">
        <w:rPr>
          <w:rFonts w:ascii="Times" w:hAnsi="Times" w:cs="Times New Roman"/>
        </w:rPr>
        <w:t xml:space="preserve"> One 8, e78295. </w:t>
      </w:r>
      <w:proofErr w:type="gramStart"/>
      <w:r w:rsidRPr="00A73326">
        <w:rPr>
          <w:rFonts w:ascii="Times" w:hAnsi="Times" w:cs="Times New Roman"/>
        </w:rPr>
        <w:t>doi:10.1371</w:t>
      </w:r>
      <w:proofErr w:type="gramEnd"/>
      <w:r w:rsidRPr="00A73326">
        <w:rPr>
          <w:rFonts w:ascii="Times" w:hAnsi="Times" w:cs="Times New Roman"/>
        </w:rPr>
        <w:t>/journal.pone.0078295</w:t>
      </w:r>
    </w:p>
    <w:p w14:paraId="4F2EA534" w14:textId="77777777" w:rsidR="00A73326" w:rsidRPr="00A73326" w:rsidRDefault="00A73326" w:rsidP="00A73326">
      <w:pPr>
        <w:ind w:left="360"/>
        <w:divId w:val="1060128225"/>
        <w:rPr>
          <w:noProof/>
        </w:rPr>
      </w:pPr>
    </w:p>
    <w:p w14:paraId="3AC6020F" w14:textId="77777777" w:rsidR="00B51C99" w:rsidRDefault="00B51C99" w:rsidP="00A73326">
      <w:pPr>
        <w:ind w:left="360"/>
        <w:divId w:val="1060128225"/>
        <w:rPr>
          <w:noProof/>
        </w:rPr>
      </w:pPr>
      <w:r w:rsidRPr="00A73326">
        <w:rPr>
          <w:noProof/>
        </w:rPr>
        <w:t xml:space="preserve">Smith, D. P., &amp; Peay, K. G. (2014). Sequence depth, not PCR replication, improves ecological inference from next generation DNA sequencing. </w:t>
      </w:r>
      <w:r w:rsidRPr="00A73326">
        <w:rPr>
          <w:i/>
          <w:iCs/>
          <w:noProof/>
        </w:rPr>
        <w:t>PloS One</w:t>
      </w:r>
      <w:r w:rsidRPr="00A73326">
        <w:rPr>
          <w:noProof/>
        </w:rPr>
        <w:t xml:space="preserve">, </w:t>
      </w:r>
      <w:r w:rsidRPr="00A73326">
        <w:rPr>
          <w:i/>
          <w:iCs/>
          <w:noProof/>
        </w:rPr>
        <w:t>9</w:t>
      </w:r>
      <w:r w:rsidRPr="00A73326">
        <w:rPr>
          <w:noProof/>
        </w:rPr>
        <w:t>(2), e90234. doi:10.1371/journal.pone.0090234</w:t>
      </w:r>
    </w:p>
    <w:p w14:paraId="23B72F3D" w14:textId="77777777" w:rsidR="00A73326" w:rsidRPr="00A73326" w:rsidRDefault="00A73326" w:rsidP="00A73326">
      <w:pPr>
        <w:ind w:left="360"/>
        <w:divId w:val="1060128225"/>
        <w:rPr>
          <w:noProof/>
        </w:rPr>
      </w:pPr>
    </w:p>
    <w:p w14:paraId="766753FD" w14:textId="469B60C1" w:rsidR="00B54DEF" w:rsidRDefault="00B54DEF" w:rsidP="00A73326">
      <w:pPr>
        <w:ind w:left="360"/>
        <w:divId w:val="1060128225"/>
        <w:rPr>
          <w:noProof/>
        </w:rPr>
      </w:pPr>
      <w:r w:rsidRPr="00A73326">
        <w:rPr>
          <w:noProof/>
        </w:rPr>
        <w:t xml:space="preserve">Nguyen, N. H., Song  Z., Bates S. T., Branco S., Tedersoo L., Menke J, Schilling J., Kennedy P. FUNGuild: an open annotation tool for parsing high-throughput fungal molecular data by ecological guild. Submitted to </w:t>
      </w:r>
      <w:r w:rsidRPr="00A73326">
        <w:rPr>
          <w:i/>
          <w:noProof/>
        </w:rPr>
        <w:t>Fungal Ecology</w:t>
      </w:r>
      <w:r w:rsidRPr="00A73326">
        <w:rPr>
          <w:noProof/>
        </w:rPr>
        <w:t>.</w:t>
      </w:r>
    </w:p>
    <w:p w14:paraId="459BFE6B" w14:textId="77777777" w:rsidR="00A73326" w:rsidRPr="00A73326" w:rsidRDefault="00A73326" w:rsidP="00A73326">
      <w:pPr>
        <w:ind w:left="360"/>
        <w:divId w:val="1060128225"/>
        <w:rPr>
          <w:noProof/>
        </w:rPr>
      </w:pPr>
      <w:bookmarkStart w:id="0" w:name="_GoBack"/>
      <w:bookmarkEnd w:id="0"/>
    </w:p>
    <w:p w14:paraId="5F77E21B" w14:textId="152A1202" w:rsidR="00A73326" w:rsidRPr="00A73326" w:rsidRDefault="00B51C99" w:rsidP="00A73326">
      <w:pPr>
        <w:ind w:left="360"/>
        <w:rPr>
          <w:rFonts w:cs="Times New Roman"/>
        </w:rPr>
      </w:pPr>
      <w:r w:rsidRPr="00A73326">
        <w:fldChar w:fldCharType="end"/>
      </w:r>
      <w:r w:rsidR="00A73326" w:rsidRPr="00A73326">
        <w:rPr>
          <w:rStyle w:val="citationauthor"/>
          <w:rFonts w:cs="Times New Roman"/>
        </w:rPr>
        <w:t xml:space="preserve"> </w:t>
      </w:r>
      <w:r w:rsidR="00A73326" w:rsidRPr="00A73326">
        <w:rPr>
          <w:rStyle w:val="citationauthor"/>
          <w:rFonts w:cs="Times New Roman"/>
        </w:rPr>
        <w:t xml:space="preserve">Song Z, </w:t>
      </w:r>
      <w:proofErr w:type="spellStart"/>
      <w:r w:rsidR="00A73326" w:rsidRPr="00A73326">
        <w:rPr>
          <w:rStyle w:val="citationauthor"/>
          <w:rFonts w:cs="Times New Roman"/>
        </w:rPr>
        <w:t>Schlatter</w:t>
      </w:r>
      <w:proofErr w:type="spellEnd"/>
      <w:r w:rsidR="00A73326" w:rsidRPr="00A73326">
        <w:rPr>
          <w:rStyle w:val="citationauthor"/>
          <w:rFonts w:cs="Times New Roman"/>
        </w:rPr>
        <w:t xml:space="preserve"> D, Kennedy P, </w:t>
      </w:r>
      <w:proofErr w:type="spellStart"/>
      <w:r w:rsidR="00A73326" w:rsidRPr="00A73326">
        <w:rPr>
          <w:rStyle w:val="citationauthor"/>
          <w:rFonts w:cs="Times New Roman"/>
        </w:rPr>
        <w:t>Kinkel</w:t>
      </w:r>
      <w:proofErr w:type="spellEnd"/>
      <w:r w:rsidR="00A73326" w:rsidRPr="00A73326">
        <w:rPr>
          <w:rStyle w:val="citationauthor"/>
          <w:rFonts w:cs="Times New Roman"/>
        </w:rPr>
        <w:t xml:space="preserve"> LL, </w:t>
      </w:r>
      <w:proofErr w:type="spellStart"/>
      <w:r w:rsidR="00A73326" w:rsidRPr="00A73326">
        <w:rPr>
          <w:rStyle w:val="citationauthor"/>
          <w:rFonts w:cs="Times New Roman"/>
        </w:rPr>
        <w:t>Kistler</w:t>
      </w:r>
      <w:proofErr w:type="spellEnd"/>
      <w:r w:rsidR="00A73326" w:rsidRPr="00A73326">
        <w:rPr>
          <w:rStyle w:val="citationauthor"/>
          <w:rFonts w:cs="Times New Roman"/>
        </w:rPr>
        <w:t xml:space="preserve"> HC, et al. </w:t>
      </w:r>
      <w:r w:rsidR="00A73326" w:rsidRPr="00A73326">
        <w:rPr>
          <w:rStyle w:val="citationdate"/>
          <w:rFonts w:cs="Times New Roman"/>
        </w:rPr>
        <w:t>(2015)</w:t>
      </w:r>
      <w:r w:rsidR="00A73326" w:rsidRPr="00A73326">
        <w:rPr>
          <w:rFonts w:cs="Times New Roman"/>
        </w:rPr>
        <w:t xml:space="preserve"> </w:t>
      </w:r>
      <w:r w:rsidR="00A73326" w:rsidRPr="00A73326">
        <w:rPr>
          <w:rStyle w:val="citationarticletitle"/>
          <w:rFonts w:cs="Times New Roman"/>
        </w:rPr>
        <w:t>Effort versus Reward: Preparing Samples for Fungal Community Characterization in High-Throughput Sequencing Surveys of Soils.</w:t>
      </w:r>
      <w:r w:rsidR="00A73326" w:rsidRPr="00A73326">
        <w:rPr>
          <w:rFonts w:cs="Times New Roman"/>
        </w:rPr>
        <w:t xml:space="preserve"> </w:t>
      </w:r>
      <w:proofErr w:type="spellStart"/>
      <w:r w:rsidR="00A73326" w:rsidRPr="00A73326">
        <w:rPr>
          <w:rStyle w:val="citationjournaltitle"/>
          <w:rFonts w:cs="Times New Roman"/>
        </w:rPr>
        <w:t>PLoS</w:t>
      </w:r>
      <w:proofErr w:type="spellEnd"/>
      <w:r w:rsidR="00A73326" w:rsidRPr="00A73326">
        <w:rPr>
          <w:rStyle w:val="citationjournaltitle"/>
          <w:rFonts w:cs="Times New Roman"/>
        </w:rPr>
        <w:t xml:space="preserve"> ONE</w:t>
      </w:r>
      <w:r w:rsidR="00A73326" w:rsidRPr="00A73326">
        <w:rPr>
          <w:rStyle w:val="citationissue"/>
          <w:rFonts w:cs="Times New Roman"/>
        </w:rPr>
        <w:t xml:space="preserve"> 10(5):</w:t>
      </w:r>
      <w:r w:rsidR="00A73326" w:rsidRPr="00A73326">
        <w:rPr>
          <w:rFonts w:cs="Times New Roman"/>
        </w:rPr>
        <w:t xml:space="preserve"> </w:t>
      </w:r>
      <w:r w:rsidR="00A73326" w:rsidRPr="00A73326">
        <w:rPr>
          <w:rStyle w:val="citationstartpage"/>
          <w:rFonts w:cs="Times New Roman"/>
        </w:rPr>
        <w:t>e0127234.</w:t>
      </w:r>
      <w:r w:rsidR="00A73326" w:rsidRPr="00A73326">
        <w:rPr>
          <w:rFonts w:cs="Times New Roman"/>
        </w:rPr>
        <w:t xml:space="preserve"> </w:t>
      </w:r>
      <w:proofErr w:type="spellStart"/>
      <w:proofErr w:type="gramStart"/>
      <w:r w:rsidR="00A73326" w:rsidRPr="00A73326">
        <w:rPr>
          <w:rStyle w:val="citationdoi"/>
          <w:rFonts w:cs="Times New Roman"/>
        </w:rPr>
        <w:t>doi</w:t>
      </w:r>
      <w:proofErr w:type="spellEnd"/>
      <w:proofErr w:type="gramEnd"/>
      <w:r w:rsidR="00A73326" w:rsidRPr="00A73326">
        <w:rPr>
          <w:rStyle w:val="citationdoi"/>
          <w:rFonts w:cs="Times New Roman"/>
        </w:rPr>
        <w:t>: 10.1371/journal.pone.0127234</w:t>
      </w:r>
      <w:r w:rsidR="00A73326" w:rsidRPr="00A73326">
        <w:rPr>
          <w:rFonts w:cs="Times New Roman"/>
        </w:rPr>
        <w:t xml:space="preserve"> </w:t>
      </w:r>
    </w:p>
    <w:p w14:paraId="0A799F80" w14:textId="6C337E91" w:rsidR="00B51C99" w:rsidRPr="00A73326" w:rsidRDefault="00B51C99" w:rsidP="00A73326"/>
    <w:sectPr w:rsidR="00B51C99" w:rsidRPr="00A73326" w:rsidSect="00852F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1205"/>
    <w:multiLevelType w:val="hybridMultilevel"/>
    <w:tmpl w:val="D5A6C03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39502B"/>
    <w:multiLevelType w:val="hybridMultilevel"/>
    <w:tmpl w:val="7E7E4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C7BAE"/>
    <w:multiLevelType w:val="hybridMultilevel"/>
    <w:tmpl w:val="4A42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40E3E"/>
    <w:multiLevelType w:val="hybridMultilevel"/>
    <w:tmpl w:val="8898A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B2972"/>
    <w:multiLevelType w:val="hybridMultilevel"/>
    <w:tmpl w:val="43AA41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D4454B"/>
    <w:multiLevelType w:val="hybridMultilevel"/>
    <w:tmpl w:val="92A2FF78"/>
    <w:lvl w:ilvl="0" w:tplc="3E9E9F4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B92081"/>
    <w:multiLevelType w:val="hybridMultilevel"/>
    <w:tmpl w:val="7E807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68785F"/>
    <w:multiLevelType w:val="hybridMultilevel"/>
    <w:tmpl w:val="377E4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51BE3"/>
    <w:multiLevelType w:val="hybridMultilevel"/>
    <w:tmpl w:val="AB44C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3"/>
  </w:num>
  <w:num w:numId="5">
    <w:abstractNumId w:val="4"/>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1E"/>
    <w:rsid w:val="00085B98"/>
    <w:rsid w:val="000A0986"/>
    <w:rsid w:val="000C08D8"/>
    <w:rsid w:val="000C50EB"/>
    <w:rsid w:val="00107F69"/>
    <w:rsid w:val="00164EF0"/>
    <w:rsid w:val="00195D3A"/>
    <w:rsid w:val="001E42AE"/>
    <w:rsid w:val="00221598"/>
    <w:rsid w:val="00243518"/>
    <w:rsid w:val="00263DDF"/>
    <w:rsid w:val="002A79ED"/>
    <w:rsid w:val="002C2F4E"/>
    <w:rsid w:val="002E0CE2"/>
    <w:rsid w:val="002E25D9"/>
    <w:rsid w:val="00314389"/>
    <w:rsid w:val="00342441"/>
    <w:rsid w:val="00365DE8"/>
    <w:rsid w:val="00385692"/>
    <w:rsid w:val="003D3F47"/>
    <w:rsid w:val="003D4662"/>
    <w:rsid w:val="00432231"/>
    <w:rsid w:val="004E765B"/>
    <w:rsid w:val="0050181B"/>
    <w:rsid w:val="00521CBF"/>
    <w:rsid w:val="0053365A"/>
    <w:rsid w:val="005865B3"/>
    <w:rsid w:val="00616505"/>
    <w:rsid w:val="006227C5"/>
    <w:rsid w:val="00640BBD"/>
    <w:rsid w:val="00654024"/>
    <w:rsid w:val="00691DCA"/>
    <w:rsid w:val="006B3B6A"/>
    <w:rsid w:val="006D4384"/>
    <w:rsid w:val="006F637B"/>
    <w:rsid w:val="00715C87"/>
    <w:rsid w:val="00751F3B"/>
    <w:rsid w:val="00783097"/>
    <w:rsid w:val="0079373F"/>
    <w:rsid w:val="007C3BA0"/>
    <w:rsid w:val="007E3D35"/>
    <w:rsid w:val="00852F81"/>
    <w:rsid w:val="00874FBB"/>
    <w:rsid w:val="008E5811"/>
    <w:rsid w:val="008F558E"/>
    <w:rsid w:val="009614A6"/>
    <w:rsid w:val="00985C30"/>
    <w:rsid w:val="00991099"/>
    <w:rsid w:val="00997DE1"/>
    <w:rsid w:val="009E65BB"/>
    <w:rsid w:val="00A44E54"/>
    <w:rsid w:val="00A73326"/>
    <w:rsid w:val="00A76847"/>
    <w:rsid w:val="00AD1473"/>
    <w:rsid w:val="00AF3D82"/>
    <w:rsid w:val="00B30811"/>
    <w:rsid w:val="00B51C99"/>
    <w:rsid w:val="00B54DEF"/>
    <w:rsid w:val="00BC24BC"/>
    <w:rsid w:val="00BC763F"/>
    <w:rsid w:val="00BF156F"/>
    <w:rsid w:val="00C00540"/>
    <w:rsid w:val="00C24921"/>
    <w:rsid w:val="00CB09BC"/>
    <w:rsid w:val="00CC16DA"/>
    <w:rsid w:val="00CC48E0"/>
    <w:rsid w:val="00CC4BCB"/>
    <w:rsid w:val="00D17457"/>
    <w:rsid w:val="00D246A3"/>
    <w:rsid w:val="00D54016"/>
    <w:rsid w:val="00D54D0C"/>
    <w:rsid w:val="00D80C46"/>
    <w:rsid w:val="00DE05C8"/>
    <w:rsid w:val="00E05178"/>
    <w:rsid w:val="00E1274A"/>
    <w:rsid w:val="00E3241D"/>
    <w:rsid w:val="00EC30D3"/>
    <w:rsid w:val="00FC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C055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81E"/>
    <w:pPr>
      <w:ind w:left="720"/>
      <w:contextualSpacing/>
    </w:pPr>
  </w:style>
  <w:style w:type="paragraph" w:styleId="BalloonText">
    <w:name w:val="Balloon Text"/>
    <w:basedOn w:val="Normal"/>
    <w:link w:val="BalloonTextChar"/>
    <w:uiPriority w:val="99"/>
    <w:semiHidden/>
    <w:unhideWhenUsed/>
    <w:rsid w:val="009614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4A6"/>
    <w:rPr>
      <w:rFonts w:ascii="Lucida Grande" w:hAnsi="Lucida Grande" w:cs="Lucida Grande"/>
      <w:sz w:val="18"/>
      <w:szCs w:val="18"/>
    </w:rPr>
  </w:style>
  <w:style w:type="character" w:styleId="Hyperlink">
    <w:name w:val="Hyperlink"/>
    <w:basedOn w:val="DefaultParagraphFont"/>
    <w:uiPriority w:val="99"/>
    <w:unhideWhenUsed/>
    <w:rsid w:val="00243518"/>
    <w:rPr>
      <w:color w:val="0000FF" w:themeColor="hyperlink"/>
      <w:u w:val="single"/>
    </w:rPr>
  </w:style>
  <w:style w:type="paragraph" w:styleId="NormalWeb">
    <w:name w:val="Normal (Web)"/>
    <w:basedOn w:val="Normal"/>
    <w:uiPriority w:val="99"/>
    <w:semiHidden/>
    <w:unhideWhenUsed/>
    <w:rsid w:val="00B51C99"/>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B51C99"/>
    <w:rPr>
      <w:color w:val="800080" w:themeColor="followedHyperlink"/>
      <w:u w:val="single"/>
    </w:rPr>
  </w:style>
  <w:style w:type="paragraph" w:customStyle="1" w:styleId="intro">
    <w:name w:val="intro"/>
    <w:basedOn w:val="Normal"/>
    <w:rsid w:val="00A73326"/>
    <w:pPr>
      <w:spacing w:before="100" w:beforeAutospacing="1" w:after="100" w:afterAutospacing="1"/>
    </w:pPr>
    <w:rPr>
      <w:rFonts w:ascii="Times" w:hAnsi="Times"/>
      <w:sz w:val="20"/>
      <w:szCs w:val="20"/>
    </w:rPr>
  </w:style>
  <w:style w:type="character" w:customStyle="1" w:styleId="citationauthor">
    <w:name w:val="citation_author"/>
    <w:basedOn w:val="DefaultParagraphFont"/>
    <w:rsid w:val="00A73326"/>
  </w:style>
  <w:style w:type="character" w:customStyle="1" w:styleId="citationdate">
    <w:name w:val="citation_date"/>
    <w:basedOn w:val="DefaultParagraphFont"/>
    <w:rsid w:val="00A73326"/>
  </w:style>
  <w:style w:type="character" w:customStyle="1" w:styleId="citationarticletitle">
    <w:name w:val="citation_article_title"/>
    <w:basedOn w:val="DefaultParagraphFont"/>
    <w:rsid w:val="00A73326"/>
  </w:style>
  <w:style w:type="character" w:customStyle="1" w:styleId="citationjournaltitle">
    <w:name w:val="citation_journal_title"/>
    <w:basedOn w:val="DefaultParagraphFont"/>
    <w:rsid w:val="00A73326"/>
  </w:style>
  <w:style w:type="character" w:customStyle="1" w:styleId="citationissue">
    <w:name w:val="citation_issue"/>
    <w:basedOn w:val="DefaultParagraphFont"/>
    <w:rsid w:val="00A73326"/>
  </w:style>
  <w:style w:type="character" w:customStyle="1" w:styleId="citationstartpage">
    <w:name w:val="citation_start_page"/>
    <w:basedOn w:val="DefaultParagraphFont"/>
    <w:rsid w:val="00A73326"/>
  </w:style>
  <w:style w:type="character" w:customStyle="1" w:styleId="citationdoi">
    <w:name w:val="citation_doi"/>
    <w:basedOn w:val="DefaultParagraphFont"/>
    <w:rsid w:val="00A733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81E"/>
    <w:pPr>
      <w:ind w:left="720"/>
      <w:contextualSpacing/>
    </w:pPr>
  </w:style>
  <w:style w:type="paragraph" w:styleId="BalloonText">
    <w:name w:val="Balloon Text"/>
    <w:basedOn w:val="Normal"/>
    <w:link w:val="BalloonTextChar"/>
    <w:uiPriority w:val="99"/>
    <w:semiHidden/>
    <w:unhideWhenUsed/>
    <w:rsid w:val="009614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4A6"/>
    <w:rPr>
      <w:rFonts w:ascii="Lucida Grande" w:hAnsi="Lucida Grande" w:cs="Lucida Grande"/>
      <w:sz w:val="18"/>
      <w:szCs w:val="18"/>
    </w:rPr>
  </w:style>
  <w:style w:type="character" w:styleId="Hyperlink">
    <w:name w:val="Hyperlink"/>
    <w:basedOn w:val="DefaultParagraphFont"/>
    <w:uiPriority w:val="99"/>
    <w:unhideWhenUsed/>
    <w:rsid w:val="00243518"/>
    <w:rPr>
      <w:color w:val="0000FF" w:themeColor="hyperlink"/>
      <w:u w:val="single"/>
    </w:rPr>
  </w:style>
  <w:style w:type="paragraph" w:styleId="NormalWeb">
    <w:name w:val="Normal (Web)"/>
    <w:basedOn w:val="Normal"/>
    <w:uiPriority w:val="99"/>
    <w:semiHidden/>
    <w:unhideWhenUsed/>
    <w:rsid w:val="00B51C99"/>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B51C99"/>
    <w:rPr>
      <w:color w:val="800080" w:themeColor="followedHyperlink"/>
      <w:u w:val="single"/>
    </w:rPr>
  </w:style>
  <w:style w:type="paragraph" w:customStyle="1" w:styleId="intro">
    <w:name w:val="intro"/>
    <w:basedOn w:val="Normal"/>
    <w:rsid w:val="00A73326"/>
    <w:pPr>
      <w:spacing w:before="100" w:beforeAutospacing="1" w:after="100" w:afterAutospacing="1"/>
    </w:pPr>
    <w:rPr>
      <w:rFonts w:ascii="Times" w:hAnsi="Times"/>
      <w:sz w:val="20"/>
      <w:szCs w:val="20"/>
    </w:rPr>
  </w:style>
  <w:style w:type="character" w:customStyle="1" w:styleId="citationauthor">
    <w:name w:val="citation_author"/>
    <w:basedOn w:val="DefaultParagraphFont"/>
    <w:rsid w:val="00A73326"/>
  </w:style>
  <w:style w:type="character" w:customStyle="1" w:styleId="citationdate">
    <w:name w:val="citation_date"/>
    <w:basedOn w:val="DefaultParagraphFont"/>
    <w:rsid w:val="00A73326"/>
  </w:style>
  <w:style w:type="character" w:customStyle="1" w:styleId="citationarticletitle">
    <w:name w:val="citation_article_title"/>
    <w:basedOn w:val="DefaultParagraphFont"/>
    <w:rsid w:val="00A73326"/>
  </w:style>
  <w:style w:type="character" w:customStyle="1" w:styleId="citationjournaltitle">
    <w:name w:val="citation_journal_title"/>
    <w:basedOn w:val="DefaultParagraphFont"/>
    <w:rsid w:val="00A73326"/>
  </w:style>
  <w:style w:type="character" w:customStyle="1" w:styleId="citationissue">
    <w:name w:val="citation_issue"/>
    <w:basedOn w:val="DefaultParagraphFont"/>
    <w:rsid w:val="00A73326"/>
  </w:style>
  <w:style w:type="character" w:customStyle="1" w:styleId="citationstartpage">
    <w:name w:val="citation_start_page"/>
    <w:basedOn w:val="DefaultParagraphFont"/>
    <w:rsid w:val="00A73326"/>
  </w:style>
  <w:style w:type="character" w:customStyle="1" w:styleId="citationdoi">
    <w:name w:val="citation_doi"/>
    <w:basedOn w:val="DefaultParagraphFont"/>
    <w:rsid w:val="00A73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5775">
      <w:bodyDiv w:val="1"/>
      <w:marLeft w:val="0"/>
      <w:marRight w:val="0"/>
      <w:marTop w:val="0"/>
      <w:marBottom w:val="0"/>
      <w:divBdr>
        <w:top w:val="none" w:sz="0" w:space="0" w:color="auto"/>
        <w:left w:val="none" w:sz="0" w:space="0" w:color="auto"/>
        <w:bottom w:val="none" w:sz="0" w:space="0" w:color="auto"/>
        <w:right w:val="none" w:sz="0" w:space="0" w:color="auto"/>
      </w:divBdr>
    </w:div>
    <w:div w:id="909509103">
      <w:bodyDiv w:val="1"/>
      <w:marLeft w:val="0"/>
      <w:marRight w:val="0"/>
      <w:marTop w:val="0"/>
      <w:marBottom w:val="0"/>
      <w:divBdr>
        <w:top w:val="none" w:sz="0" w:space="0" w:color="auto"/>
        <w:left w:val="none" w:sz="0" w:space="0" w:color="auto"/>
        <w:bottom w:val="none" w:sz="0" w:space="0" w:color="auto"/>
        <w:right w:val="none" w:sz="0" w:space="0" w:color="auto"/>
      </w:divBdr>
    </w:div>
    <w:div w:id="1060128225">
      <w:bodyDiv w:val="1"/>
      <w:marLeft w:val="0"/>
      <w:marRight w:val="0"/>
      <w:marTop w:val="0"/>
      <w:marBottom w:val="0"/>
      <w:divBdr>
        <w:top w:val="none" w:sz="0" w:space="0" w:color="auto"/>
        <w:left w:val="none" w:sz="0" w:space="0" w:color="auto"/>
        <w:bottom w:val="none" w:sz="0" w:space="0" w:color="auto"/>
        <w:right w:val="none" w:sz="0" w:space="0" w:color="auto"/>
      </w:divBdr>
      <w:divsChild>
        <w:div w:id="1527599364">
          <w:marLeft w:val="0"/>
          <w:marRight w:val="0"/>
          <w:marTop w:val="0"/>
          <w:marBottom w:val="0"/>
          <w:divBdr>
            <w:top w:val="none" w:sz="0" w:space="0" w:color="auto"/>
            <w:left w:val="none" w:sz="0" w:space="0" w:color="auto"/>
            <w:bottom w:val="none" w:sz="0" w:space="0" w:color="auto"/>
            <w:right w:val="none" w:sz="0" w:space="0" w:color="auto"/>
          </w:divBdr>
        </w:div>
      </w:divsChild>
    </w:div>
    <w:div w:id="1526139185">
      <w:bodyDiv w:val="1"/>
      <w:marLeft w:val="0"/>
      <w:marRight w:val="0"/>
      <w:marTop w:val="0"/>
      <w:marBottom w:val="0"/>
      <w:divBdr>
        <w:top w:val="none" w:sz="0" w:space="0" w:color="auto"/>
        <w:left w:val="none" w:sz="0" w:space="0" w:color="auto"/>
        <w:bottom w:val="none" w:sz="0" w:space="0" w:color="auto"/>
        <w:right w:val="none" w:sz="0" w:space="0" w:color="auto"/>
      </w:divBdr>
      <w:divsChild>
        <w:div w:id="1137257644">
          <w:marLeft w:val="0"/>
          <w:marRight w:val="0"/>
          <w:marTop w:val="0"/>
          <w:marBottom w:val="0"/>
          <w:divBdr>
            <w:top w:val="none" w:sz="0" w:space="0" w:color="auto"/>
            <w:left w:val="none" w:sz="0" w:space="0" w:color="auto"/>
            <w:bottom w:val="none" w:sz="0" w:space="0" w:color="auto"/>
            <w:right w:val="none" w:sz="0" w:space="0" w:color="auto"/>
          </w:divBdr>
          <w:divsChild>
            <w:div w:id="20185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ournals.plos.org/plosone/article?id=10.1371/journal.pone.0127234"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journals.plos.org/plosone/article?id=10.1371/journal.pone.0078295" TargetMode="External"/><Relationship Id="rId11" Type="http://schemas.openxmlformats.org/officeDocument/2006/relationships/hyperlink" Target="http://qiime.org/documentation/file_formats.html" TargetMode="External"/><Relationship Id="rId12" Type="http://schemas.openxmlformats.org/officeDocument/2006/relationships/hyperlink" Target="http://onlinelibrary.wiley.com/doi/10.1111/nph.12923/full" TargetMode="External"/><Relationship Id="rId13" Type="http://schemas.openxmlformats.org/officeDocument/2006/relationships/hyperlink" Target="http://www.cbs.umn.edu/labs/kennedy/protocols" TargetMode="External"/><Relationship Id="rId14" Type="http://schemas.openxmlformats.org/officeDocument/2006/relationships/hyperlink" Target="http://secure.ahc.umn.edu/ahc/bmgc_new/" TargetMode="External"/><Relationship Id="rId15" Type="http://schemas.openxmlformats.org/officeDocument/2006/relationships/hyperlink" Target="https://code.google.com/p/cutadapt" TargetMode="External"/><Relationship Id="rId16" Type="http://schemas.openxmlformats.org/officeDocument/2006/relationships/hyperlink" Target="http://www.usadellab.org/cms/?page=trimmomatic" TargetMode="External"/><Relationship Id="rId17" Type="http://schemas.openxmlformats.org/officeDocument/2006/relationships/hyperlink" Target="http://www.mothur.org/" TargetMode="External"/><Relationship Id="rId18" Type="http://schemas.openxmlformats.org/officeDocument/2006/relationships/hyperlink" Target="http://qiime.org/tutorials/" TargetMode="External"/><Relationship Id="rId19" Type="http://schemas.openxmlformats.org/officeDocument/2006/relationships/hyperlink" Target="http://onlinelibrary.wiley.com/doi/10.1111/nph.12923/ful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bs.umn.edu/labs/kennedy/protocols"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88636-08C8-644A-89DD-F647FA2F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3388</Words>
  <Characters>19316</Characters>
  <Application>Microsoft Macintosh Word</Application>
  <DocSecurity>0</DocSecurity>
  <Lines>160</Lines>
  <Paragraphs>45</Paragraphs>
  <ScaleCrop>false</ScaleCrop>
  <Company/>
  <LinksUpToDate>false</LinksUpToDate>
  <CharactersWithSpaces>22659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 Nguyen</dc:creator>
  <cp:keywords/>
  <dc:description/>
  <cp:lastModifiedBy>Nhu Nguyen</cp:lastModifiedBy>
  <cp:revision>2</cp:revision>
  <dcterms:created xsi:type="dcterms:W3CDTF">2015-06-16T18:59:00Z</dcterms:created>
  <dcterms:modified xsi:type="dcterms:W3CDTF">2015-06-16T18:59:00Z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kennedyp@umn.edu@www.mendeley.com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http://www.zotero.org/styles/ecology</vt:lpwstr>
  </property>
  <property fmtid="{D5CDD505-2E9C-101B-9397-08002B2CF9AE}" pid="8" name="Mendeley Recent Style Name 1_1">
    <vt:lpwstr>Ecology</vt:lpwstr>
  </property>
  <property fmtid="{D5CDD505-2E9C-101B-9397-08002B2CF9AE}" pid="9" name="Mendeley Recent Style Id 2_1">
    <vt:lpwstr>http://www.zotero.org/styles/ecology-letters</vt:lpwstr>
  </property>
  <property fmtid="{D5CDD505-2E9C-101B-9397-08002B2CF9AE}" pid="10" name="Mendeley Recent Style Name 2_1">
    <vt:lpwstr>Ecology Letters</vt:lpwstr>
  </property>
  <property fmtid="{D5CDD505-2E9C-101B-9397-08002B2CF9AE}" pid="11" name="Mendeley Recent Style Id 3_1">
    <vt:lpwstr>http://www.zotero.org/styles/fungal-ecology</vt:lpwstr>
  </property>
  <property fmtid="{D5CDD505-2E9C-101B-9397-08002B2CF9AE}" pid="12" name="Mendeley Recent Style Name 3_1">
    <vt:lpwstr>Fungal Ecology</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http://www.zotero.org/styles/new-phytologist</vt:lpwstr>
  </property>
  <property fmtid="{D5CDD505-2E9C-101B-9397-08002B2CF9AE}" pid="22" name="Mendeley Recent Style Name 8_1">
    <vt:lpwstr>New Phytologist</vt:lpwstr>
  </property>
  <property fmtid="{D5CDD505-2E9C-101B-9397-08002B2CF9AE}" pid="23" name="Mendeley Recent Style Id 9_1">
    <vt:lpwstr>http://www.zotero.org/styles/science</vt:lpwstr>
  </property>
  <property fmtid="{D5CDD505-2E9C-101B-9397-08002B2CF9AE}" pid="24" name="Mendeley Recent Style Name 9_1">
    <vt:lpwstr>Science</vt:lpwstr>
  </property>
</Properties>
</file>